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CAC" w:rsidRDefault="004D0CAC">
      <w:pPr>
        <w:pStyle w:val="Apotestata2"/>
        <w:rPr>
          <w:color w:val="FF0000"/>
        </w:rPr>
      </w:pPr>
      <w:r>
        <w:rPr>
          <w:color w:val="FF0000"/>
        </w:rPr>
        <w:t>==ragsocsa==</w:t>
      </w:r>
    </w:p>
    <w:p w:rsidR="004D0CAC" w:rsidRDefault="004D0CAC">
      <w:pPr>
        <w:pStyle w:val="Apotestata2"/>
        <w:rPr>
          <w:color w:val="FF0000"/>
        </w:rPr>
      </w:pPr>
      <w:r>
        <w:rPr>
          <w:color w:val="FF0000"/>
        </w:rPr>
        <w:t>==indsa==</w:t>
      </w:r>
      <w:r>
        <w:t xml:space="preserve"> - </w:t>
      </w:r>
      <w:r>
        <w:rPr>
          <w:color w:val="FF0000"/>
        </w:rPr>
        <w:t>==capsoc==</w:t>
      </w:r>
      <w:r>
        <w:t xml:space="preserve"> - </w:t>
      </w:r>
      <w:r>
        <w:rPr>
          <w:color w:val="FF0000"/>
        </w:rPr>
        <w:t>==comsoc==</w:t>
      </w:r>
      <w:r>
        <w:t xml:space="preserve"> (</w:t>
      </w:r>
      <w:r>
        <w:rPr>
          <w:color w:val="FF0000"/>
        </w:rPr>
        <w:t>==prsa==</w:t>
      </w:r>
      <w:r>
        <w:t>)</w:t>
      </w:r>
    </w:p>
    <w:p w:rsidR="004D0CAC" w:rsidRDefault="004D0CAC">
      <w:pPr>
        <w:pStyle w:val="Apotestata2"/>
        <w:rPr>
          <w:color w:val="FF0000"/>
        </w:rPr>
      </w:pPr>
      <w:r>
        <w:t xml:space="preserve">Codice fiscale: </w:t>
      </w:r>
      <w:r>
        <w:rPr>
          <w:color w:val="FF0000"/>
        </w:rPr>
        <w:t>==codfisc==</w:t>
      </w:r>
    </w:p>
    <w:p w:rsidR="004D0CAC" w:rsidRDefault="004D0CAC">
      <w:pPr>
        <w:pStyle w:val="Apotestata2"/>
      </w:pPr>
      <w:r>
        <w:t xml:space="preserve">Capitale sociale sottoscritto Euro </w:t>
      </w:r>
      <w:r>
        <w:rPr>
          <w:color w:val="FF0000"/>
        </w:rPr>
        <w:t>==cssot==</w:t>
      </w:r>
      <w:r>
        <w:t xml:space="preserve"> parte versata Euro </w:t>
      </w:r>
      <w:r>
        <w:rPr>
          <w:color w:val="FF0000"/>
        </w:rPr>
        <w:t>==csver==</w:t>
      </w:r>
    </w:p>
    <w:p w:rsidR="004D0CAC" w:rsidRDefault="004D0CAC">
      <w:pPr>
        <w:pStyle w:val="Apotestata2"/>
      </w:pPr>
      <w:r>
        <w:t xml:space="preserve">Registro Imprese n° </w:t>
      </w:r>
      <w:r>
        <w:rPr>
          <w:color w:val="FF0000"/>
        </w:rPr>
        <w:t>==iscrri==</w:t>
      </w:r>
      <w:r>
        <w:t xml:space="preserve"> – R.E.A. n° </w:t>
      </w:r>
      <w:r>
        <w:rPr>
          <w:color w:val="FF0000"/>
        </w:rPr>
        <w:t>==iscrrea==</w:t>
      </w:r>
      <w:r>
        <w:t xml:space="preserve">  – Ufficio di </w:t>
      </w:r>
      <w:r>
        <w:rPr>
          <w:color w:val="FF0000"/>
        </w:rPr>
        <w:t>==uffri==</w:t>
      </w:r>
    </w:p>
    <w:p w:rsidR="004D0CAC" w:rsidRDefault="004D0CAC"/>
    <w:p w:rsidR="004D0CAC" w:rsidRDefault="004D0CAC">
      <w:pPr>
        <w:pStyle w:val="Aponota1"/>
        <w:spacing w:after="0"/>
        <w:rPr>
          <w:color w:val="FF0000"/>
        </w:rPr>
      </w:pPr>
      <w:r>
        <w:t xml:space="preserve">RELAZIONE DEL COLLEGIO SINDACALE  AL  </w:t>
      </w:r>
      <w:r>
        <w:rPr>
          <w:color w:val="FF0000"/>
        </w:rPr>
        <w:t xml:space="preserve">==dtches== </w:t>
      </w:r>
    </w:p>
    <w:p w:rsidR="004D0CAC" w:rsidRDefault="004D0CAC">
      <w:pPr>
        <w:pStyle w:val="Aponota1"/>
        <w:spacing w:after="0"/>
        <w:rPr>
          <w:sz w:val="16"/>
        </w:rPr>
      </w:pPr>
      <w:r>
        <w:rPr>
          <w:sz w:val="16"/>
        </w:rPr>
        <w:t xml:space="preserve">redatta ai sensi e per gli effetti dell’art. 14 del D.Lgs. 27 gennaio 2010 nr. 39 e dell’art. 2429 c.c. </w:t>
      </w:r>
    </w:p>
    <w:p w:rsidR="004D0CAC" w:rsidRDefault="004D0CAC">
      <w:pPr>
        <w:tabs>
          <w:tab w:val="left" w:pos="0"/>
        </w:tabs>
      </w:pPr>
    </w:p>
    <w:p w:rsidR="004D0CAC" w:rsidRDefault="004D0CAC">
      <w:pPr>
        <w:tabs>
          <w:tab w:val="left" w:pos="0"/>
        </w:tabs>
      </w:pPr>
      <w:r>
        <w:t>Signori soci,</w:t>
      </w:r>
    </w:p>
    <w:p w:rsidR="004D0CAC" w:rsidRDefault="004D0CAC">
      <w:pPr>
        <w:tabs>
          <w:tab w:val="left" w:pos="0"/>
        </w:tabs>
      </w:pPr>
      <w:r>
        <w:t xml:space="preserve">per l’esercizio chiuso al </w:t>
      </w:r>
      <w:r>
        <w:rPr>
          <w:color w:val="FF0000"/>
        </w:rPr>
        <w:t>==dtches==</w:t>
      </w:r>
      <w:r>
        <w:t xml:space="preserve"> come da Vostro mandato, abbiamo svolto entrambe le funzioni,  di vigilanza e di revisione legale dei conti, così come stabilito dal D. Lgs. 17 gennaio 2003, nr. 6, e con la presente relazione  Vi rendiamo conto del nostro operato.</w:t>
      </w:r>
    </w:p>
    <w:p w:rsidR="004D0CAC" w:rsidRDefault="004D0CAC"/>
    <w:p w:rsidR="004D0CAC" w:rsidRDefault="004D0CAC">
      <w:pPr>
        <w:pStyle w:val="Aponota3"/>
      </w:pPr>
      <w:r>
        <w:t xml:space="preserve">Principi di redazione </w:t>
      </w:r>
    </w:p>
    <w:p w:rsidR="004D0CAC" w:rsidRDefault="004D0CAC"/>
    <w:p w:rsidR="004D0CAC" w:rsidRDefault="004D0CAC">
      <w:r>
        <w:t>La responsabilità della redazione del progetto di bilancio compete all’Organo amministrativo della Vostra società mentre è nostra la responsabilità relativa all’espressione del giudizio professionale sul progetto di bilancio basato sulla revisione legale dei conti.</w:t>
      </w:r>
    </w:p>
    <w:p w:rsidR="004D0CAC" w:rsidRDefault="004D0CAC">
      <w:r>
        <w:t>Il nostro esame è stato condotto secondo i principi di revisione stabiliti dall’art. 11 del D. Lgs. 27 gennaio 2010, nr. 39. La revisione legale dei conti, in conformità a detti principi, è stata condotta acquisendo ogni elemento necessario per accertare se il progetto di bilancio in esame sia, nel suo complesso, attendibile. Il procedimento di revisione legale dei conti è stato svolto in modo coerente con la dimensione della società e con il suo assetto organizzativo.</w:t>
      </w:r>
    </w:p>
    <w:p w:rsidR="004D0CAC" w:rsidRDefault="004D0CAC">
      <w:r>
        <w:t>La valutazione comprende l’esame di adeguatezza e correttezza dei criteri contabili utilizzati e della ragionevolezza delle stime effettuate dall’Organo amministrativo.</w:t>
      </w:r>
    </w:p>
    <w:p w:rsidR="004D0CAC" w:rsidRDefault="004D0CAC"/>
    <w:p w:rsidR="004D0CAC" w:rsidRDefault="004D0CAC">
      <w:pPr>
        <w:pStyle w:val="Aponota3"/>
      </w:pPr>
      <w:r>
        <w:t xml:space="preserve">Considerazioni sulla redazione del bilancio </w:t>
      </w:r>
    </w:p>
    <w:p w:rsidR="004D0CAC" w:rsidRDefault="004D0CAC"/>
    <w:p w:rsidR="004D0CAC" w:rsidRDefault="004D0CAC">
      <w:pPr>
        <w:tabs>
          <w:tab w:val="left" w:pos="0"/>
        </w:tabs>
        <w:rPr>
          <w:color w:val="FF0000"/>
        </w:rPr>
      </w:pPr>
      <w:r>
        <w:t xml:space="preserve">Il bilancio, unitamente alla relazione sulla gestione, che ci è stato trasmesso tempestivamente dagli amministratori ed ha costituito oggetto del nostro doveroso esame, viene presentato al Vostro giudizio esponendo un risultato netto di € </w:t>
      </w:r>
      <w:r>
        <w:rPr>
          <w:color w:val="FF0000"/>
        </w:rPr>
        <w:t>==4T_AC==</w:t>
      </w:r>
      <w:r>
        <w:t>.</w:t>
      </w:r>
    </w:p>
    <w:p w:rsidR="004D0CAC" w:rsidRDefault="004D0CAC">
      <w:pPr>
        <w:tabs>
          <w:tab w:val="left" w:pos="0"/>
        </w:tabs>
      </w:pPr>
      <w:r>
        <w:t xml:space="preserve">L’Organo amministrativo, in ottemperanza alle disposizioni di cui agli articoli 2427 e 2428 del codice </w:t>
      </w:r>
      <w:r>
        <w:lastRenderedPageBreak/>
        <w:t>civile, Vi ha informato sull'andamento della società nel corso dell'esercizio appena trascorso.</w:t>
      </w:r>
    </w:p>
    <w:p w:rsidR="004D0CAC" w:rsidRDefault="004D0CAC">
      <w:pPr>
        <w:tabs>
          <w:tab w:val="left" w:pos="0"/>
        </w:tabs>
      </w:pPr>
      <w:r>
        <w:t>Vi ha illustrato le singole voci di bilancio, i criteri di valutazione adottati, nonché le variazioni intervenute rispetto all'esercizio precedente, fornendoVi in tal modo una rappresentazione dettagliata ed esauriente dei vari elementi ed aspetti che hanno influito sulla determinazione del risultato di esercizio.</w:t>
      </w:r>
    </w:p>
    <w:p w:rsidR="004D0CAC" w:rsidRDefault="004D0CAC">
      <w:pPr>
        <w:tabs>
          <w:tab w:val="left" w:pos="0"/>
        </w:tabs>
      </w:pPr>
      <w:r>
        <w:t>Vi ha informato altresì sui rapporti con le partecipate e sui fatti di rilievo avvenuti dopo la chiusura dell'esercizio.</w:t>
      </w:r>
    </w:p>
    <w:p w:rsidR="004D0CAC" w:rsidRDefault="004D0CAC">
      <w:pPr>
        <w:tabs>
          <w:tab w:val="left" w:pos="0"/>
        </w:tabs>
      </w:pPr>
      <w:r>
        <w:t>E' appunto a questi documenti che il Collegio fa riferimento per quanto riguarda l'andamento della gestione, i commenti delle varie voci di bilancio, e le variazioni del patrimonio sociale.</w:t>
      </w:r>
    </w:p>
    <w:p w:rsidR="004D0CAC" w:rsidRDefault="004D0CAC">
      <w:pPr>
        <w:tabs>
          <w:tab w:val="left" w:pos="0"/>
        </w:tabs>
      </w:pPr>
      <w:r>
        <w:t xml:space="preserve">Prima di dare corso alle nostre osservazioni dobbiamo ricordare che abbiamo regolarmente effettuato le verifiche previste dalla Legge, abbiamo partecipato alle riunioni dell’Organo amministrativo e nel corso dell’esercizio chiuso al </w:t>
      </w:r>
      <w:r>
        <w:rPr>
          <w:color w:val="FF0000"/>
        </w:rPr>
        <w:t>==dtches==</w:t>
      </w:r>
      <w:r>
        <w:t xml:space="preserve"> abbiamo vigilato sull’osservanza della legge e dell’atto costitutivo e sul rispetto dei principi di corretta amministrazione utilizzando, nell’espletamento dell’incarico, i suggerimenti indicati nelle “Norme di comportamento del Collegio Sindacale nelle società non quotate”, a cura del Consiglio Nazionale dei Dottori Commercialisti e degli Esperti contabili, di recente emanazione.</w:t>
      </w:r>
    </w:p>
    <w:p w:rsidR="004D0CAC" w:rsidRDefault="004D0CAC">
      <w:pPr>
        <w:tabs>
          <w:tab w:val="left" w:pos="0"/>
        </w:tabs>
      </w:pPr>
    </w:p>
    <w:p w:rsidR="004D0CAC" w:rsidRDefault="004D0CAC">
      <w:r>
        <w:t>Nel corso di tali verifiche abbiamo potuto constatare la regolare tenuta della contabilità sociale e la corretta rilevazione dei fatti di gestione. La società ha tenuto regolarmente le scritture prescritte dalla legge, sicché le stesse sono state predisposte, redatte e sottoscritte cosi' come previsto dagli art. 2215 e 2217 del C.C.. Le scritture contabili e l'altra documentazione richiesta dalla legge, sono correttamente conservate, secondo il disposto dell'art. 2220 del codice civile.</w:t>
      </w:r>
    </w:p>
    <w:p w:rsidR="004D0CAC" w:rsidRDefault="004D0CAC">
      <w:r>
        <w:t>Il bilancio sottoposto a revisione legale e che andiamo a commentare, si riassume nei seguenti valori:</w:t>
      </w:r>
    </w:p>
    <w:p w:rsidR="004D0CAC" w:rsidRDefault="004D0CAC"/>
    <w:p w:rsidR="004D0CAC" w:rsidRDefault="004D0CAC">
      <w:pPr>
        <w:pStyle w:val="Apotestata2"/>
      </w:pPr>
      <w:r>
        <w:t>STATO PATRIMONIALE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3969"/>
        <w:gridCol w:w="708"/>
        <w:gridCol w:w="2892"/>
      </w:tblGrid>
      <w:tr w:rsidR="004D0CAC">
        <w:tblPrEx>
          <w:tblCellMar>
            <w:top w:w="0" w:type="dxa"/>
            <w:bottom w:w="0" w:type="dxa"/>
          </w:tblCellMar>
        </w:tblPrEx>
        <w:trPr>
          <w:jc w:val="center"/>
        </w:trPr>
        <w:tc>
          <w:tcPr>
            <w:tcW w:w="3969" w:type="dxa"/>
            <w:vAlign w:val="center"/>
          </w:tcPr>
          <w:p w:rsidR="004D0CAC" w:rsidRDefault="004D0CAC">
            <w:pPr>
              <w:tabs>
                <w:tab w:val="left" w:pos="0"/>
              </w:tabs>
            </w:pPr>
            <w:r>
              <w:t xml:space="preserve">Attivo </w:t>
            </w:r>
          </w:p>
        </w:tc>
        <w:tc>
          <w:tcPr>
            <w:tcW w:w="708" w:type="dxa"/>
            <w:vAlign w:val="center"/>
          </w:tcPr>
          <w:p w:rsidR="004D0CAC" w:rsidRDefault="004D0CAC">
            <w:pPr>
              <w:pStyle w:val="Apotestata1"/>
              <w:tabs>
                <w:tab w:val="left" w:pos="0"/>
              </w:tabs>
            </w:pPr>
            <w:r>
              <w:t>€</w:t>
            </w:r>
          </w:p>
        </w:tc>
        <w:tc>
          <w:tcPr>
            <w:tcW w:w="2892" w:type="dxa"/>
            <w:vAlign w:val="center"/>
          </w:tcPr>
          <w:p w:rsidR="004D0CAC" w:rsidRDefault="004D0CAC">
            <w:pPr>
              <w:tabs>
                <w:tab w:val="left" w:pos="0"/>
              </w:tabs>
              <w:jc w:val="right"/>
            </w:pPr>
            <w:r>
              <w:rPr>
                <w:color w:val="FF0000"/>
              </w:rPr>
              <w:t>==1T_AC==</w:t>
            </w:r>
          </w:p>
        </w:tc>
      </w:tr>
      <w:tr w:rsidR="004D0CAC">
        <w:tblPrEx>
          <w:tblCellMar>
            <w:top w:w="0" w:type="dxa"/>
            <w:bottom w:w="0" w:type="dxa"/>
          </w:tblCellMar>
        </w:tblPrEx>
        <w:trPr>
          <w:cantSplit/>
          <w:jc w:val="center"/>
        </w:trPr>
        <w:tc>
          <w:tcPr>
            <w:tcW w:w="3969" w:type="dxa"/>
            <w:vAlign w:val="center"/>
          </w:tcPr>
          <w:p w:rsidR="004D0CAC" w:rsidRDefault="004D0CAC">
            <w:pPr>
              <w:tabs>
                <w:tab w:val="left" w:pos="0"/>
              </w:tabs>
            </w:pPr>
            <w:r>
              <w:t>Passivo e patrimonio netto</w:t>
            </w:r>
          </w:p>
        </w:tc>
        <w:tc>
          <w:tcPr>
            <w:tcW w:w="708" w:type="dxa"/>
            <w:vAlign w:val="center"/>
          </w:tcPr>
          <w:p w:rsidR="004D0CAC" w:rsidRDefault="004D0CAC">
            <w:pPr>
              <w:tabs>
                <w:tab w:val="left" w:pos="0"/>
              </w:tabs>
              <w:jc w:val="center"/>
            </w:pPr>
            <w:r>
              <w:t>€</w:t>
            </w:r>
          </w:p>
        </w:tc>
        <w:tc>
          <w:tcPr>
            <w:tcW w:w="2892" w:type="dxa"/>
            <w:vAlign w:val="center"/>
          </w:tcPr>
          <w:p w:rsidR="004D0CAC" w:rsidRDefault="004D0CAC">
            <w:pPr>
              <w:tabs>
                <w:tab w:val="left" w:pos="0"/>
              </w:tabs>
              <w:jc w:val="right"/>
            </w:pPr>
            <w:r>
              <w:rPr>
                <w:color w:val="FF0000"/>
              </w:rPr>
              <w:t>==2T_AC==</w:t>
            </w:r>
          </w:p>
        </w:tc>
      </w:tr>
      <w:tr w:rsidR="004D0CAC">
        <w:tblPrEx>
          <w:tblCellMar>
            <w:top w:w="0" w:type="dxa"/>
            <w:bottom w:w="0" w:type="dxa"/>
          </w:tblCellMar>
        </w:tblPrEx>
        <w:trPr>
          <w:cantSplit/>
          <w:jc w:val="center"/>
        </w:trPr>
        <w:tc>
          <w:tcPr>
            <w:tcW w:w="3969" w:type="dxa"/>
            <w:vAlign w:val="center"/>
          </w:tcPr>
          <w:p w:rsidR="004D0CAC" w:rsidRDefault="004D0CAC">
            <w:pPr>
              <w:tabs>
                <w:tab w:val="left" w:pos="0"/>
              </w:tabs>
            </w:pPr>
            <w:r>
              <w:t xml:space="preserve">Risultato netto di esercizio </w:t>
            </w:r>
          </w:p>
        </w:tc>
        <w:tc>
          <w:tcPr>
            <w:tcW w:w="708" w:type="dxa"/>
            <w:vAlign w:val="center"/>
          </w:tcPr>
          <w:p w:rsidR="004D0CAC" w:rsidRDefault="004D0CAC">
            <w:pPr>
              <w:tabs>
                <w:tab w:val="left" w:pos="0"/>
              </w:tabs>
              <w:jc w:val="center"/>
              <w:rPr>
                <w:color w:val="008000"/>
              </w:rPr>
            </w:pPr>
            <w:r>
              <w:t>€</w:t>
            </w:r>
          </w:p>
        </w:tc>
        <w:tc>
          <w:tcPr>
            <w:tcW w:w="2892" w:type="dxa"/>
            <w:vAlign w:val="center"/>
          </w:tcPr>
          <w:p w:rsidR="004D0CAC" w:rsidRDefault="004D0CAC">
            <w:pPr>
              <w:tabs>
                <w:tab w:val="left" w:pos="0"/>
              </w:tabs>
              <w:jc w:val="right"/>
              <w:rPr>
                <w:color w:val="008000"/>
              </w:rPr>
            </w:pPr>
            <w:r>
              <w:rPr>
                <w:color w:val="FF0000"/>
              </w:rPr>
              <w:t>==4T_AC==</w:t>
            </w:r>
            <w:r>
              <w:t xml:space="preserve">  </w:t>
            </w:r>
          </w:p>
        </w:tc>
      </w:tr>
    </w:tbl>
    <w:p w:rsidR="004D0CAC" w:rsidRDefault="004D0CAC">
      <w:pPr>
        <w:pStyle w:val="Apotestata1"/>
        <w:tabs>
          <w:tab w:val="left" w:pos="0"/>
        </w:tabs>
        <w:jc w:val="both"/>
        <w:rPr>
          <w:b/>
          <w:u w:val="single"/>
        </w:rPr>
      </w:pPr>
    </w:p>
    <w:p w:rsidR="004D0CAC" w:rsidRDefault="004D0CAC">
      <w:pPr>
        <w:pStyle w:val="Apotestata2"/>
      </w:pPr>
      <w:r>
        <w:t>CONTO ECONOMICO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3969"/>
        <w:gridCol w:w="708"/>
        <w:gridCol w:w="2892"/>
      </w:tblGrid>
      <w:tr w:rsidR="004D0CAC">
        <w:tblPrEx>
          <w:tblCellMar>
            <w:top w:w="0" w:type="dxa"/>
            <w:bottom w:w="0" w:type="dxa"/>
          </w:tblCellMar>
        </w:tblPrEx>
        <w:trPr>
          <w:jc w:val="center"/>
        </w:trPr>
        <w:tc>
          <w:tcPr>
            <w:tcW w:w="3969" w:type="dxa"/>
            <w:vAlign w:val="center"/>
          </w:tcPr>
          <w:p w:rsidR="004D0CAC" w:rsidRDefault="004D0CAC">
            <w:pPr>
              <w:tabs>
                <w:tab w:val="left" w:pos="0"/>
              </w:tabs>
            </w:pPr>
            <w:r>
              <w:t xml:space="preserve">Valore della produzione </w:t>
            </w:r>
          </w:p>
        </w:tc>
        <w:tc>
          <w:tcPr>
            <w:tcW w:w="708" w:type="dxa"/>
            <w:vAlign w:val="center"/>
          </w:tcPr>
          <w:p w:rsidR="004D0CAC" w:rsidRDefault="004D0CAC">
            <w:pPr>
              <w:pStyle w:val="Apotestata1"/>
              <w:tabs>
                <w:tab w:val="left" w:pos="0"/>
              </w:tabs>
            </w:pPr>
            <w:r>
              <w:t>€</w:t>
            </w:r>
          </w:p>
        </w:tc>
        <w:tc>
          <w:tcPr>
            <w:tcW w:w="2892" w:type="dxa"/>
          </w:tcPr>
          <w:p w:rsidR="004D0CAC" w:rsidRDefault="004D0CAC">
            <w:pPr>
              <w:tabs>
                <w:tab w:val="left" w:pos="0"/>
              </w:tabs>
              <w:jc w:val="right"/>
            </w:pPr>
            <w:r>
              <w:rPr>
                <w:color w:val="FF0000"/>
              </w:rPr>
              <w:t>==4AT_AC==</w:t>
            </w:r>
            <w:r>
              <w:t xml:space="preserve"> </w:t>
            </w:r>
          </w:p>
        </w:tc>
      </w:tr>
      <w:tr w:rsidR="004D0CAC">
        <w:tblPrEx>
          <w:tblCellMar>
            <w:top w:w="0" w:type="dxa"/>
            <w:bottom w:w="0" w:type="dxa"/>
          </w:tblCellMar>
        </w:tblPrEx>
        <w:trPr>
          <w:jc w:val="center"/>
        </w:trPr>
        <w:tc>
          <w:tcPr>
            <w:tcW w:w="3969" w:type="dxa"/>
            <w:vAlign w:val="center"/>
          </w:tcPr>
          <w:p w:rsidR="004D0CAC" w:rsidRDefault="004D0CAC">
            <w:pPr>
              <w:tabs>
                <w:tab w:val="left" w:pos="0"/>
              </w:tabs>
            </w:pPr>
            <w:r>
              <w:t xml:space="preserve">Costi della produzione </w:t>
            </w:r>
          </w:p>
        </w:tc>
        <w:tc>
          <w:tcPr>
            <w:tcW w:w="708" w:type="dxa"/>
            <w:vAlign w:val="center"/>
          </w:tcPr>
          <w:p w:rsidR="004D0CAC" w:rsidRDefault="004D0CAC">
            <w:pPr>
              <w:tabs>
                <w:tab w:val="left" w:pos="0"/>
              </w:tabs>
              <w:jc w:val="center"/>
            </w:pPr>
            <w:r>
              <w:t>€</w:t>
            </w:r>
          </w:p>
        </w:tc>
        <w:tc>
          <w:tcPr>
            <w:tcW w:w="2892" w:type="dxa"/>
          </w:tcPr>
          <w:p w:rsidR="004D0CAC" w:rsidRDefault="004D0CAC">
            <w:pPr>
              <w:tabs>
                <w:tab w:val="left" w:pos="0"/>
              </w:tabs>
              <w:jc w:val="right"/>
            </w:pPr>
            <w:r>
              <w:rPr>
                <w:color w:val="FF0000"/>
              </w:rPr>
              <w:t>==4BT_AC==</w:t>
            </w:r>
            <w:r>
              <w:t xml:space="preserve"> </w:t>
            </w:r>
          </w:p>
        </w:tc>
      </w:tr>
      <w:tr w:rsidR="004D0CAC">
        <w:tblPrEx>
          <w:tblCellMar>
            <w:top w:w="0" w:type="dxa"/>
            <w:bottom w:w="0" w:type="dxa"/>
          </w:tblCellMar>
        </w:tblPrEx>
        <w:trPr>
          <w:jc w:val="center"/>
        </w:trPr>
        <w:tc>
          <w:tcPr>
            <w:tcW w:w="3969" w:type="dxa"/>
            <w:vAlign w:val="center"/>
          </w:tcPr>
          <w:p w:rsidR="004D0CAC" w:rsidRDefault="004D0CAC">
            <w:pPr>
              <w:tabs>
                <w:tab w:val="left" w:pos="0"/>
              </w:tabs>
            </w:pPr>
            <w:r>
              <w:t xml:space="preserve">Proventi ed oneri finanziari </w:t>
            </w:r>
          </w:p>
        </w:tc>
        <w:tc>
          <w:tcPr>
            <w:tcW w:w="708" w:type="dxa"/>
            <w:vAlign w:val="center"/>
          </w:tcPr>
          <w:p w:rsidR="004D0CAC" w:rsidRDefault="004D0CAC">
            <w:pPr>
              <w:tabs>
                <w:tab w:val="left" w:pos="0"/>
              </w:tabs>
              <w:jc w:val="center"/>
            </w:pPr>
            <w:r>
              <w:t>€</w:t>
            </w:r>
          </w:p>
        </w:tc>
        <w:tc>
          <w:tcPr>
            <w:tcW w:w="2892" w:type="dxa"/>
          </w:tcPr>
          <w:p w:rsidR="004D0CAC" w:rsidRDefault="004D0CAC">
            <w:pPr>
              <w:tabs>
                <w:tab w:val="left" w:pos="0"/>
              </w:tabs>
              <w:jc w:val="right"/>
            </w:pPr>
            <w:r>
              <w:rPr>
                <w:color w:val="FF0000"/>
              </w:rPr>
              <w:t>==4CT_AC==</w:t>
            </w:r>
          </w:p>
        </w:tc>
      </w:tr>
      <w:tr w:rsidR="004D0CAC">
        <w:tblPrEx>
          <w:tblCellMar>
            <w:top w:w="0" w:type="dxa"/>
            <w:bottom w:w="0" w:type="dxa"/>
          </w:tblCellMar>
        </w:tblPrEx>
        <w:trPr>
          <w:jc w:val="center"/>
        </w:trPr>
        <w:tc>
          <w:tcPr>
            <w:tcW w:w="3969" w:type="dxa"/>
            <w:vAlign w:val="center"/>
          </w:tcPr>
          <w:p w:rsidR="004D0CAC" w:rsidRDefault="004D0CAC">
            <w:pPr>
              <w:tabs>
                <w:tab w:val="left" w:pos="0"/>
              </w:tabs>
            </w:pPr>
            <w:r>
              <w:t>Rettifiche di valore di attività finanziarie</w:t>
            </w:r>
          </w:p>
        </w:tc>
        <w:tc>
          <w:tcPr>
            <w:tcW w:w="708" w:type="dxa"/>
            <w:vAlign w:val="center"/>
          </w:tcPr>
          <w:p w:rsidR="004D0CAC" w:rsidRDefault="004D0CAC">
            <w:pPr>
              <w:tabs>
                <w:tab w:val="left" w:pos="0"/>
              </w:tabs>
              <w:jc w:val="center"/>
            </w:pPr>
            <w:r>
              <w:t>€</w:t>
            </w:r>
          </w:p>
        </w:tc>
        <w:tc>
          <w:tcPr>
            <w:tcW w:w="2892" w:type="dxa"/>
          </w:tcPr>
          <w:p w:rsidR="004D0CAC" w:rsidRDefault="004D0CAC">
            <w:pPr>
              <w:tabs>
                <w:tab w:val="left" w:pos="0"/>
              </w:tabs>
              <w:jc w:val="right"/>
            </w:pPr>
            <w:r>
              <w:rPr>
                <w:color w:val="FF0000"/>
              </w:rPr>
              <w:t>==4DT_AC==</w:t>
            </w:r>
            <w:r>
              <w:t xml:space="preserve"> </w:t>
            </w:r>
          </w:p>
        </w:tc>
      </w:tr>
      <w:tr w:rsidR="004D0CAC">
        <w:tblPrEx>
          <w:tblCellMar>
            <w:top w:w="0" w:type="dxa"/>
            <w:bottom w:w="0" w:type="dxa"/>
          </w:tblCellMar>
        </w:tblPrEx>
        <w:trPr>
          <w:jc w:val="center"/>
        </w:trPr>
        <w:tc>
          <w:tcPr>
            <w:tcW w:w="3969" w:type="dxa"/>
            <w:vAlign w:val="center"/>
          </w:tcPr>
          <w:p w:rsidR="004D0CAC" w:rsidRDefault="004D0CAC">
            <w:pPr>
              <w:tabs>
                <w:tab w:val="left" w:pos="0"/>
              </w:tabs>
            </w:pPr>
            <w:r>
              <w:lastRenderedPageBreak/>
              <w:t xml:space="preserve">Risultato prima delle imposte </w:t>
            </w:r>
          </w:p>
        </w:tc>
        <w:tc>
          <w:tcPr>
            <w:tcW w:w="708" w:type="dxa"/>
            <w:vAlign w:val="center"/>
          </w:tcPr>
          <w:p w:rsidR="004D0CAC" w:rsidRDefault="004D0CAC">
            <w:pPr>
              <w:tabs>
                <w:tab w:val="left" w:pos="0"/>
              </w:tabs>
              <w:jc w:val="center"/>
            </w:pPr>
            <w:r>
              <w:t>€</w:t>
            </w:r>
          </w:p>
        </w:tc>
        <w:tc>
          <w:tcPr>
            <w:tcW w:w="2892" w:type="dxa"/>
          </w:tcPr>
          <w:p w:rsidR="004D0CAC" w:rsidRDefault="004D0CAC">
            <w:pPr>
              <w:tabs>
                <w:tab w:val="left" w:pos="0"/>
              </w:tabs>
              <w:jc w:val="right"/>
            </w:pPr>
            <w:r>
              <w:rPr>
                <w:color w:val="FF0000"/>
              </w:rPr>
              <w:t>==4RAIT_AC==</w:t>
            </w:r>
            <w:r>
              <w:t xml:space="preserve">  </w:t>
            </w:r>
          </w:p>
        </w:tc>
      </w:tr>
      <w:tr w:rsidR="004D0CAC">
        <w:tblPrEx>
          <w:tblCellMar>
            <w:top w:w="0" w:type="dxa"/>
            <w:bottom w:w="0" w:type="dxa"/>
          </w:tblCellMar>
        </w:tblPrEx>
        <w:trPr>
          <w:jc w:val="center"/>
        </w:trPr>
        <w:tc>
          <w:tcPr>
            <w:tcW w:w="3969" w:type="dxa"/>
            <w:vAlign w:val="center"/>
          </w:tcPr>
          <w:p w:rsidR="004D0CAC" w:rsidRDefault="004D0CAC">
            <w:pPr>
              <w:tabs>
                <w:tab w:val="left" w:pos="0"/>
              </w:tabs>
            </w:pPr>
            <w:r>
              <w:t xml:space="preserve">Imposte sul reddito d'esercizio </w:t>
            </w:r>
          </w:p>
        </w:tc>
        <w:tc>
          <w:tcPr>
            <w:tcW w:w="708" w:type="dxa"/>
            <w:vAlign w:val="center"/>
          </w:tcPr>
          <w:p w:rsidR="004D0CAC" w:rsidRDefault="004D0CAC">
            <w:pPr>
              <w:tabs>
                <w:tab w:val="left" w:pos="0"/>
              </w:tabs>
              <w:jc w:val="center"/>
            </w:pPr>
            <w:r>
              <w:t>€</w:t>
            </w:r>
          </w:p>
        </w:tc>
        <w:tc>
          <w:tcPr>
            <w:tcW w:w="2892" w:type="dxa"/>
          </w:tcPr>
          <w:p w:rsidR="004D0CAC" w:rsidRDefault="00B91A8C">
            <w:pPr>
              <w:tabs>
                <w:tab w:val="left" w:pos="0"/>
              </w:tabs>
              <w:jc w:val="right"/>
            </w:pPr>
            <w:r>
              <w:rPr>
                <w:color w:val="FF0000"/>
              </w:rPr>
              <w:t>==4I20T_AC==</w:t>
            </w:r>
            <w:r w:rsidR="004D0CAC">
              <w:t xml:space="preserve"> </w:t>
            </w:r>
          </w:p>
        </w:tc>
      </w:tr>
      <w:tr w:rsidR="004D0CAC">
        <w:tblPrEx>
          <w:tblCellMar>
            <w:top w:w="0" w:type="dxa"/>
            <w:bottom w:w="0" w:type="dxa"/>
          </w:tblCellMar>
        </w:tblPrEx>
        <w:trPr>
          <w:jc w:val="center"/>
        </w:trPr>
        <w:tc>
          <w:tcPr>
            <w:tcW w:w="3969" w:type="dxa"/>
            <w:vAlign w:val="center"/>
          </w:tcPr>
          <w:p w:rsidR="004D0CAC" w:rsidRDefault="004D0CAC">
            <w:pPr>
              <w:tabs>
                <w:tab w:val="left" w:pos="0"/>
              </w:tabs>
            </w:pPr>
            <w:r>
              <w:t xml:space="preserve">Risultato netto di esercizio </w:t>
            </w:r>
          </w:p>
        </w:tc>
        <w:tc>
          <w:tcPr>
            <w:tcW w:w="708" w:type="dxa"/>
            <w:vAlign w:val="center"/>
          </w:tcPr>
          <w:p w:rsidR="004D0CAC" w:rsidRDefault="004D0CAC">
            <w:pPr>
              <w:tabs>
                <w:tab w:val="left" w:pos="0"/>
              </w:tabs>
              <w:jc w:val="center"/>
            </w:pPr>
            <w:r>
              <w:t>€</w:t>
            </w:r>
          </w:p>
        </w:tc>
        <w:tc>
          <w:tcPr>
            <w:tcW w:w="2892" w:type="dxa"/>
          </w:tcPr>
          <w:p w:rsidR="004D0CAC" w:rsidRDefault="004D0CAC">
            <w:pPr>
              <w:tabs>
                <w:tab w:val="left" w:pos="0"/>
              </w:tabs>
              <w:jc w:val="right"/>
            </w:pPr>
            <w:r>
              <w:rPr>
                <w:color w:val="FF0000"/>
              </w:rPr>
              <w:t>==4T_AC==</w:t>
            </w:r>
            <w:r>
              <w:t xml:space="preserve"> </w:t>
            </w:r>
          </w:p>
        </w:tc>
      </w:tr>
    </w:tbl>
    <w:p w:rsidR="004D0CAC" w:rsidRDefault="004D0CAC">
      <w:pPr>
        <w:tabs>
          <w:tab w:val="left" w:pos="0"/>
        </w:tabs>
      </w:pPr>
    </w:p>
    <w:p w:rsidR="004D0CAC" w:rsidRDefault="004D0CAC">
      <w:pPr>
        <w:tabs>
          <w:tab w:val="left" w:pos="0"/>
        </w:tabs>
        <w:rPr>
          <w:i/>
        </w:rPr>
      </w:pPr>
      <w:r>
        <w:rPr>
          <w:i/>
        </w:rPr>
        <w:t>….Compilazione a cura dell’utente</w:t>
      </w:r>
    </w:p>
    <w:p w:rsidR="004D0CAC" w:rsidRDefault="004D0CAC">
      <w:pPr>
        <w:tabs>
          <w:tab w:val="left" w:pos="0"/>
        </w:tabs>
        <w:rPr>
          <w:i/>
        </w:rPr>
      </w:pPr>
      <w:r>
        <w:rPr>
          <w:i/>
        </w:rPr>
        <w:t>(indicare i principale conti annuali o consolidati sottoposti a revisione legale)</w:t>
      </w:r>
    </w:p>
    <w:p w:rsidR="004D0CAC" w:rsidRDefault="004D0CAC">
      <w:pPr>
        <w:pStyle w:val="Pidipagina"/>
        <w:tabs>
          <w:tab w:val="clear" w:pos="4819"/>
          <w:tab w:val="clear" w:pos="9638"/>
          <w:tab w:val="left" w:pos="0"/>
        </w:tabs>
      </w:pPr>
    </w:p>
    <w:p w:rsidR="004D0CAC" w:rsidRDefault="004D0CAC">
      <w:pPr>
        <w:tabs>
          <w:tab w:val="left" w:pos="0"/>
        </w:tabs>
      </w:pPr>
      <w:r>
        <w:t>Il  bilancio è stato redatto con chiarezza e rappresenta in modo veritiero e corretto la situazione patrimoniale e finanziaria della società ed il risultato economico dell'esercizio appena trascorso.</w:t>
      </w:r>
    </w:p>
    <w:p w:rsidR="004D0CAC" w:rsidRDefault="004D0CAC">
      <w:pPr>
        <w:tabs>
          <w:tab w:val="left" w:pos="0"/>
        </w:tabs>
      </w:pPr>
      <w:r>
        <w:t>Non è stato necessario ricorrere a quanto stabilito dal quarto comma dell'art. 2423 del codice civile, per quanto concerne l'applicazione di disposizioni previste dalla legge incompatibili con la rappresentazione veritiera e corretta della situazione dell'impresa.</w:t>
      </w:r>
    </w:p>
    <w:p w:rsidR="004D0CAC" w:rsidRDefault="004D0CAC">
      <w:pPr>
        <w:tabs>
          <w:tab w:val="left" w:pos="0"/>
        </w:tabs>
      </w:pPr>
      <w:r>
        <w:t>Lo schema di bilancio utilizzato e' quello richiesto dalla formulazione degli articoli 2424 e 2425 del codice civile.</w:t>
      </w:r>
    </w:p>
    <w:p w:rsidR="004D0CAC" w:rsidRDefault="004D0CAC">
      <w:pPr>
        <w:tabs>
          <w:tab w:val="left" w:pos="0"/>
        </w:tabs>
      </w:pPr>
      <w:r>
        <w:t>Abbiamo verificato che il bilancio è stato redatto in osservanza ai principi dettati dall'art. 2423 bis codice civile.</w:t>
      </w:r>
    </w:p>
    <w:p w:rsidR="004D0CAC" w:rsidRDefault="004D0CAC">
      <w:pPr>
        <w:tabs>
          <w:tab w:val="left" w:pos="0"/>
        </w:tabs>
      </w:pPr>
      <w:r>
        <w:t>Concordiamo con i criteri di valutazione adottati, che sono conformi al disposto dell'art. 2426 codice civile, e che non sono stati modificati rispetto al precedente esercizio.</w:t>
      </w:r>
    </w:p>
    <w:p w:rsidR="004D0CAC" w:rsidRDefault="004D0CAC">
      <w:pPr>
        <w:tabs>
          <w:tab w:val="left" w:pos="0"/>
        </w:tabs>
      </w:pPr>
      <w:r>
        <w:t>Si precisa, a maggior dettaglio, che:</w:t>
      </w:r>
    </w:p>
    <w:p w:rsidR="004D0CAC" w:rsidRDefault="004D0CAC">
      <w:pPr>
        <w:numPr>
          <w:ilvl w:val="0"/>
          <w:numId w:val="18"/>
        </w:numPr>
      </w:pPr>
      <w:r>
        <w:t>nella valutazione delle immobilizzazioni, non si è dovuto procedere all'applicazione di quanto disposto dal punto 3) del citato articolo 2426, per quanto concerne beni che alla data di chiusura dell'esercizio risultino di valore durevolmente inferiore al costo di acquisto o di produzione;</w:t>
      </w:r>
    </w:p>
    <w:p w:rsidR="004D0CAC" w:rsidRDefault="004D0CAC">
      <w:pPr>
        <w:numPr>
          <w:ilvl w:val="0"/>
          <w:numId w:val="18"/>
        </w:numPr>
        <w:tabs>
          <w:tab w:val="left" w:pos="0"/>
        </w:tabs>
      </w:pPr>
      <w:r>
        <w:t>i ratei e risconti sono stati computati con il nostro accordo, sulla base delle inerenze economiche e temporali;</w:t>
      </w:r>
    </w:p>
    <w:p w:rsidR="004D0CAC" w:rsidRDefault="004D0CAC">
      <w:pPr>
        <w:numPr>
          <w:ilvl w:val="0"/>
          <w:numId w:val="18"/>
        </w:numPr>
        <w:tabs>
          <w:tab w:val="left" w:pos="0"/>
        </w:tabs>
      </w:pPr>
      <w:r>
        <w:t xml:space="preserve">il trattamento di fine rapporto dei dipendenti che copre per intero i diritti e le spettanze maturati dal personale dipendente alla data di chiusura dell'esercizio appena trascorso, e' stato calcolato a norma dell'art. 2120 del codice civile, ed è conforme alla nuove disposizioni previste dalla Riforma della Previdenza Complementare </w:t>
      </w:r>
      <w:r>
        <w:rPr>
          <w:i/>
        </w:rPr>
        <w:t>(articolo 8, decreto legislativo 5 dicembre 2005, n. 252)</w:t>
      </w:r>
      <w:r>
        <w:t>;</w:t>
      </w:r>
    </w:p>
    <w:p w:rsidR="004D0CAC" w:rsidRDefault="004D0CAC">
      <w:pPr>
        <w:numPr>
          <w:ilvl w:val="0"/>
          <w:numId w:val="18"/>
        </w:numPr>
        <w:tabs>
          <w:tab w:val="left" w:pos="0"/>
        </w:tabs>
      </w:pPr>
      <w:r>
        <w:t>i costi con utilità pluriennale sono stati iscritti, con il nostro consenso, tra le voci dell'attivo dello stato patrimoniale. Al proposito si precisa che l’Organo amministrativo è edotto del fatto che, fintanto che detti costi iscritti nell'attivo non sono stati completamente ammortizzati, possono essere distribuiti dividendi solo se residuano riserve disponibili sufficienti a coprire l'ammontare dei costi non ammortizzati;</w:t>
      </w:r>
    </w:p>
    <w:p w:rsidR="004D0CAC" w:rsidRDefault="004D0CAC">
      <w:pPr>
        <w:numPr>
          <w:ilvl w:val="0"/>
          <w:numId w:val="18"/>
        </w:numPr>
        <w:tabs>
          <w:tab w:val="left" w:pos="0"/>
        </w:tabs>
      </w:pPr>
      <w:r>
        <w:t xml:space="preserve">gli ammortamenti sono stati calcolati applicando le percentuali di ammortamento fiscali, le quali possono comunque ritenersi adeguate all'effettivo deperimento dei beni a cui le stesse si </w:t>
      </w:r>
      <w:r>
        <w:lastRenderedPageBreak/>
        <w:t>riferiscono;</w:t>
      </w:r>
    </w:p>
    <w:p w:rsidR="004D0CAC" w:rsidRDefault="004D0CAC">
      <w:pPr>
        <w:tabs>
          <w:tab w:val="left" w:pos="0"/>
        </w:tabs>
        <w:ind w:left="360"/>
        <w:rPr>
          <w:i/>
        </w:rPr>
      </w:pPr>
      <w:r>
        <w:rPr>
          <w:i/>
        </w:rPr>
        <w:t>(seguono paragrafi da rivedere a cura dell’utente)</w:t>
      </w:r>
    </w:p>
    <w:p w:rsidR="004D0CAC" w:rsidRDefault="004D0CAC">
      <w:pPr>
        <w:numPr>
          <w:ilvl w:val="0"/>
          <w:numId w:val="18"/>
        </w:numPr>
        <w:tabs>
          <w:tab w:val="left" w:pos="0"/>
        </w:tabs>
      </w:pPr>
      <w:r>
        <w:t>il fondo imposte riguarda un contenzioso in essere con l'Amministrazione Finanziaria non ancora concluso;</w:t>
      </w:r>
    </w:p>
    <w:p w:rsidR="004D0CAC" w:rsidRDefault="004D0CAC">
      <w:pPr>
        <w:numPr>
          <w:ilvl w:val="0"/>
          <w:numId w:val="18"/>
        </w:numPr>
        <w:tabs>
          <w:tab w:val="left" w:pos="0"/>
        </w:tabs>
      </w:pPr>
      <w:r>
        <w:t>il fondo imposte differite è stato accreditato sulla base dell'effetto fiscale connesso alle differenze temporanee tra il valore contabile e il valore fiscale di talune voci;</w:t>
      </w:r>
    </w:p>
    <w:p w:rsidR="004D0CAC" w:rsidRDefault="004D0CAC">
      <w:pPr>
        <w:numPr>
          <w:ilvl w:val="0"/>
          <w:numId w:val="18"/>
        </w:numPr>
        <w:tabs>
          <w:tab w:val="left" w:pos="0"/>
        </w:tabs>
      </w:pPr>
      <w:r>
        <w:t>le rimanenze finali sono state iscritte al minore tra il costo di acquisto ed il valore di realizzo desumibile dall'andamento del mercato, mediante l'applicazione del metodo Fifo.</w:t>
      </w:r>
    </w:p>
    <w:p w:rsidR="004D0CAC" w:rsidRDefault="004D0CAC">
      <w:pPr>
        <w:tabs>
          <w:tab w:val="left" w:pos="0"/>
        </w:tabs>
      </w:pPr>
    </w:p>
    <w:p w:rsidR="004D0CAC" w:rsidRDefault="004D0CAC">
      <w:pPr>
        <w:tabs>
          <w:tab w:val="left" w:pos="0"/>
        </w:tabs>
      </w:pPr>
      <w:r>
        <w:t>A corredo della nota integrativa, gli amministratori hanno fornito i seguenti prospetti supplementari:</w:t>
      </w:r>
    </w:p>
    <w:p w:rsidR="004D0CAC" w:rsidRDefault="004D0CAC">
      <w:pPr>
        <w:numPr>
          <w:ilvl w:val="0"/>
          <w:numId w:val="18"/>
        </w:numPr>
        <w:tabs>
          <w:tab w:val="left" w:pos="0"/>
        </w:tabs>
      </w:pPr>
      <w:r>
        <w:t>la classificazione delle riserve e degli altri fondi e le variazioni intervenute, ai sensi dell'art. 105 del D.P.R. 917/86;</w:t>
      </w:r>
    </w:p>
    <w:p w:rsidR="004D0CAC" w:rsidRDefault="004D0CAC">
      <w:pPr>
        <w:numPr>
          <w:ilvl w:val="0"/>
          <w:numId w:val="18"/>
        </w:numPr>
        <w:tabs>
          <w:tab w:val="left" w:pos="0"/>
        </w:tabs>
      </w:pPr>
      <w:r>
        <w:t>il prospetto delle rivalutazioni dei beni ai sensi dell'art. 10 della Legge 10/3/1983, nr. 72;</w:t>
      </w:r>
    </w:p>
    <w:p w:rsidR="004D0CAC" w:rsidRDefault="004D0CAC">
      <w:pPr>
        <w:numPr>
          <w:ilvl w:val="0"/>
          <w:numId w:val="18"/>
        </w:numPr>
        <w:tabs>
          <w:tab w:val="left" w:pos="0"/>
        </w:tabs>
      </w:pPr>
      <w:r>
        <w:t>la riclassificazione secondo criteri finanziari dello stato patrimoniale;</w:t>
      </w:r>
    </w:p>
    <w:p w:rsidR="004D0CAC" w:rsidRDefault="004D0CAC">
      <w:pPr>
        <w:numPr>
          <w:ilvl w:val="0"/>
          <w:numId w:val="18"/>
        </w:numPr>
        <w:tabs>
          <w:tab w:val="left" w:pos="0"/>
        </w:tabs>
      </w:pPr>
      <w:r>
        <w:t>il rendiconto finanziario.</w:t>
      </w:r>
    </w:p>
    <w:p w:rsidR="004D0CAC" w:rsidRDefault="004D0CAC">
      <w:pPr>
        <w:tabs>
          <w:tab w:val="left" w:pos="0"/>
        </w:tabs>
      </w:pPr>
    </w:p>
    <w:p w:rsidR="004D0CAC" w:rsidRDefault="004D0CAC">
      <w:pPr>
        <w:pStyle w:val="Aponota3"/>
      </w:pPr>
      <w:r>
        <w:t>Consensi all’iscrizione nell’attivo di spese pluriennali art. 2426 n. 5) e 6)</w:t>
      </w:r>
    </w:p>
    <w:p w:rsidR="004D0CAC" w:rsidRDefault="004D0CAC"/>
    <w:p w:rsidR="004D0CAC" w:rsidRDefault="004D0CAC">
      <w:pPr>
        <w:rPr>
          <w:i/>
        </w:rPr>
      </w:pPr>
      <w:r>
        <w:rPr>
          <w:i/>
        </w:rPr>
        <w:t>(Compilazione a cura dell’utente)</w:t>
      </w:r>
    </w:p>
    <w:p w:rsidR="004D0CAC" w:rsidRDefault="004D0CAC">
      <w:pPr>
        <w:pStyle w:val="Corpodeltesto3"/>
      </w:pPr>
      <w:r>
        <w:t>Esprimere il consenso del collegio sindacale all’iscrizione nell’attivo di bilancio dei costi di impianto e di ampliamento, dei costi di ricerca, di sviluppo e di pubblicità aventi utilità pluriennale, nonché dell’avviamento.</w:t>
      </w:r>
    </w:p>
    <w:p w:rsidR="004D0CAC" w:rsidRDefault="004D0CAC"/>
    <w:p w:rsidR="004D0CAC" w:rsidRDefault="004D0CAC">
      <w:pPr>
        <w:pStyle w:val="Aponota3"/>
      </w:pPr>
      <w:r>
        <w:t>Rivalutazioni beni d’impresa</w:t>
      </w:r>
    </w:p>
    <w:p w:rsidR="004D0CAC" w:rsidRDefault="004D0CAC"/>
    <w:p w:rsidR="004D0CAC" w:rsidRDefault="004D0CAC">
      <w:pPr>
        <w:tabs>
          <w:tab w:val="left" w:pos="0"/>
        </w:tabs>
      </w:pPr>
      <w:r>
        <w:t xml:space="preserve">Il collegio sindacale da atto che nel bilancio chiuso al </w:t>
      </w:r>
      <w:r>
        <w:rPr>
          <w:color w:val="FF0000"/>
        </w:rPr>
        <w:t>==dtches==</w:t>
      </w:r>
      <w:r>
        <w:t xml:space="preserve"> è stata effettuata su alcuni beni la rivalutazione nel rispetto dei criteri previsti dalla legge 21 novembre 2000, n. 342 e successivamente secondo quanto stabilito dalla Legge 266/05 e dal decreto legge n. 185 del 2008. </w:t>
      </w:r>
    </w:p>
    <w:p w:rsidR="004D0CAC" w:rsidRDefault="004D0CAC">
      <w:pPr>
        <w:tabs>
          <w:tab w:val="left" w:pos="0"/>
        </w:tabs>
      </w:pPr>
      <w:r>
        <w:t>Tali beni, sono indicati singolarmente in nota integrativa con i valori prima e dopo la rivalutazione nel rispetto della normativa vigente.</w:t>
      </w:r>
    </w:p>
    <w:p w:rsidR="004D0CAC" w:rsidRDefault="004D0CAC">
      <w:pPr>
        <w:tabs>
          <w:tab w:val="left" w:pos="0"/>
        </w:tabs>
      </w:pPr>
      <w:r>
        <w:t xml:space="preserve">Le immobilizzazioni materiali ed immateriali sono state rivalutate applicando il criterio del valore di presumibile realizzo, che nel caso degli impianti è stato individuato mediante una perizia di stima, effettuata dall'ing. ……. ………., in data __/__/___. Le partecipazioni, invece, sono state rivalutate </w:t>
      </w:r>
      <w:r>
        <w:lastRenderedPageBreak/>
        <w:t>considerando il valore economico effettivo della società partecipata.</w:t>
      </w:r>
    </w:p>
    <w:p w:rsidR="004D0CAC" w:rsidRDefault="004D0CAC">
      <w:pPr>
        <w:tabs>
          <w:tab w:val="left" w:pos="0"/>
        </w:tabs>
      </w:pPr>
      <w:r>
        <w:t>In ogni caso, i maggiori valori in bilancio rispettano il limite previsto dall'articolo 11, comma 2 della legge 21 novembre 2000, n. 342.</w:t>
      </w:r>
    </w:p>
    <w:p w:rsidR="004D0CAC" w:rsidRDefault="004D0CAC">
      <w:pPr>
        <w:tabs>
          <w:tab w:val="left" w:pos="0"/>
        </w:tabs>
      </w:pPr>
      <w:r>
        <w:t>I sindaci attestano, pertanto, che la rivalutazione è avvenuta nel rispetto delle norme di legge.</w:t>
      </w:r>
    </w:p>
    <w:p w:rsidR="004D0CAC" w:rsidRDefault="004D0CAC">
      <w:pPr>
        <w:tabs>
          <w:tab w:val="left" w:pos="0"/>
        </w:tabs>
      </w:pPr>
    </w:p>
    <w:p w:rsidR="004D0CAC" w:rsidRDefault="004D0CAC">
      <w:pPr>
        <w:pStyle w:val="Aponota3"/>
      </w:pPr>
      <w:r>
        <w:t xml:space="preserve">Principi di coerenza </w:t>
      </w:r>
    </w:p>
    <w:p w:rsidR="004D0CAC" w:rsidRDefault="004D0CAC">
      <w:pPr>
        <w:tabs>
          <w:tab w:val="left" w:pos="0"/>
        </w:tabs>
      </w:pPr>
    </w:p>
    <w:p w:rsidR="004D0CAC" w:rsidRDefault="004D0CAC">
      <w:pPr>
        <w:pStyle w:val="Corpodeltesto3"/>
        <w:tabs>
          <w:tab w:val="left" w:pos="0"/>
        </w:tabs>
      </w:pPr>
      <w:r>
        <w:t>(Compilazione a cura dell’utente…)</w:t>
      </w:r>
    </w:p>
    <w:p w:rsidR="004D0CAC" w:rsidRDefault="004D0CAC">
      <w:pPr>
        <w:pStyle w:val="Titolo2"/>
      </w:pPr>
      <w:r>
        <w:t>Coerenza</w:t>
      </w:r>
    </w:p>
    <w:p w:rsidR="004D0CAC" w:rsidRDefault="004D0CAC">
      <w:r>
        <w:t>La responsabilità della redazione della relazione sulla gestione in conformità a quanto previsto dalle norme di legge compete all’Organo amministrativo della società.</w:t>
      </w:r>
    </w:p>
    <w:p w:rsidR="004D0CAC" w:rsidRDefault="004D0CAC">
      <w:r>
        <w:t>È di nostra competenza l’espressione del giudizio sulla coerenza della relazione sulla gestione con il progetto di bilancio, come richiesto dall’art. 14, secondo comma, lettera e), del D. Lgs. 27 gennaio 2010, nr. 39. A tal proposito, abbiamo svolto le procedure indicate dal principio di revisione nr. PR 001 emanato dal Consiglio Nazionale dei Dottori Commercialisti e degli Esperti Contabili e raccomandato dalla Consob.</w:t>
      </w:r>
    </w:p>
    <w:p w:rsidR="004D0CAC" w:rsidRDefault="004D0CAC">
      <w:pPr>
        <w:rPr>
          <w:rFonts w:ascii="Times New Roman" w:hAnsi="Times New Roman"/>
          <w:i/>
          <w:color w:val="000000"/>
          <w:sz w:val="21"/>
        </w:rPr>
      </w:pPr>
      <w:r>
        <w:t xml:space="preserve">A nostro giudizio la relazione sulla gestione è coerente con il progetto di bilancio d’esercizio della società </w:t>
      </w:r>
      <w:r>
        <w:rPr>
          <w:color w:val="FF0000"/>
        </w:rPr>
        <w:t>==ragsocsa==</w:t>
      </w:r>
      <w:r>
        <w:t xml:space="preserve"> chiuso al </w:t>
      </w:r>
      <w:r>
        <w:rPr>
          <w:color w:val="FF0000"/>
        </w:rPr>
        <w:t>==dtches==</w:t>
      </w:r>
      <w:r>
        <w:t xml:space="preserve"> .</w:t>
      </w:r>
    </w:p>
    <w:p w:rsidR="004D0CAC" w:rsidRDefault="004D0CAC"/>
    <w:p w:rsidR="004D0CAC" w:rsidRDefault="004D0CAC">
      <w:pPr>
        <w:pStyle w:val="Titolo3"/>
      </w:pPr>
      <w:r>
        <w:t>Oppure</w:t>
      </w:r>
    </w:p>
    <w:p w:rsidR="004D0CAC" w:rsidRDefault="004D0CAC">
      <w:pPr>
        <w:rPr>
          <w:b/>
        </w:rPr>
      </w:pPr>
      <w:r>
        <w:rPr>
          <w:b/>
        </w:rPr>
        <w:t>Coerenza con eccezioni</w:t>
      </w:r>
    </w:p>
    <w:p w:rsidR="004D0CAC" w:rsidRDefault="004D0CAC">
      <w:r>
        <w:t xml:space="preserve">Nel corso della verifica della coerenza della relazione sulla gestione con il progetto di bilancio d’esercizio della società </w:t>
      </w:r>
      <w:r>
        <w:rPr>
          <w:color w:val="FF0000"/>
        </w:rPr>
        <w:t>==ragsocsa==</w:t>
      </w:r>
      <w:r>
        <w:t xml:space="preserve"> chiuso al </w:t>
      </w:r>
      <w:r>
        <w:rPr>
          <w:color w:val="FF0000"/>
        </w:rPr>
        <w:t>==dtches==</w:t>
      </w:r>
      <w:r>
        <w:t xml:space="preserve"> abbiamo riscontrato le seguenti incoerenze ritenute significative:</w:t>
      </w:r>
    </w:p>
    <w:p w:rsidR="004D0CAC" w:rsidRDefault="004D0CAC">
      <w:pPr>
        <w:numPr>
          <w:ilvl w:val="0"/>
          <w:numId w:val="19"/>
        </w:numPr>
      </w:pPr>
      <w:r>
        <w:t>…………………</w:t>
      </w:r>
    </w:p>
    <w:p w:rsidR="004D0CAC" w:rsidRDefault="004D0CAC">
      <w:pPr>
        <w:numPr>
          <w:ilvl w:val="0"/>
          <w:numId w:val="19"/>
        </w:numPr>
      </w:pPr>
      <w:r>
        <w:t>…………………</w:t>
      </w:r>
    </w:p>
    <w:p w:rsidR="004D0CAC" w:rsidRDefault="004D0CAC">
      <w:r>
        <w:t xml:space="preserve">Le predette incoerenze sono state tempestivamente comunicate all’Organo amministrativo, il quale, tuttavia, non ha ritenuto opportuno modificare la relazione sulla gestione; pur gravando su di esso la responsabilità della redazione della relazione sulla gestione in conformità a quanto previsto dalle norme di legge. È di nostra competenza l’espressione del giudizio sulla coerenza della relazione sulla gestione con il progetto di bilancio, come richiesto dall’art. 14, secondo comma, lettera e), del D. Lgs. 27 gennaio 2010, nr. 39. A tal fine, abbiamo svolto le procedure indicate dal principio di revisione nr. PR 001 emanato  dal Consiglio Nazionale dei Dottori Commercialisti e degli Esperti Contabili e raccomandato dalla Consob. A nostro giudizio, ad eccezione di quanto precedentemente descritto, la </w:t>
      </w:r>
      <w:r>
        <w:lastRenderedPageBreak/>
        <w:t xml:space="preserve">relazione sulla gestione è coerente con il progetto di bilancio d’esercizio. </w:t>
      </w:r>
    </w:p>
    <w:p w:rsidR="004D0CAC" w:rsidRDefault="004D0CAC">
      <w:pPr>
        <w:widowControl/>
        <w:autoSpaceDE w:val="0"/>
        <w:autoSpaceDN w:val="0"/>
        <w:adjustRightInd w:val="0"/>
        <w:spacing w:line="240" w:lineRule="auto"/>
        <w:jc w:val="left"/>
        <w:rPr>
          <w:rFonts w:ascii="Times New Roman" w:hAnsi="Times New Roman"/>
          <w:color w:val="000000"/>
          <w:sz w:val="21"/>
        </w:rPr>
      </w:pPr>
    </w:p>
    <w:p w:rsidR="004D0CAC" w:rsidRDefault="004D0CAC">
      <w:pPr>
        <w:pStyle w:val="Titolo3"/>
      </w:pPr>
      <w:r>
        <w:t>Oppure</w:t>
      </w:r>
    </w:p>
    <w:p w:rsidR="004D0CAC" w:rsidRDefault="004D0CAC">
      <w:pPr>
        <w:rPr>
          <w:b/>
        </w:rPr>
      </w:pPr>
      <w:r>
        <w:rPr>
          <w:b/>
        </w:rPr>
        <w:t>Giudizio di incoerenza</w:t>
      </w:r>
    </w:p>
    <w:p w:rsidR="004D0CAC" w:rsidRDefault="004D0CAC">
      <w:r>
        <w:t xml:space="preserve">Nel corso della verifica della coerenza della relazione sulla gestione con il progetto di bilancio d’esercizio della società </w:t>
      </w:r>
      <w:r>
        <w:rPr>
          <w:color w:val="FF0000"/>
        </w:rPr>
        <w:t>==ragsocsa==</w:t>
      </w:r>
      <w:r>
        <w:t xml:space="preserve"> chiuso al </w:t>
      </w:r>
      <w:r>
        <w:rPr>
          <w:color w:val="FF0000"/>
        </w:rPr>
        <w:t>==dtches==</w:t>
      </w:r>
      <w:r>
        <w:t xml:space="preserve"> abbiamo riscontrato le seguenti incoerenze ritenute significative:</w:t>
      </w:r>
    </w:p>
    <w:p w:rsidR="004D0CAC" w:rsidRDefault="004D0CAC">
      <w:pPr>
        <w:numPr>
          <w:ilvl w:val="0"/>
          <w:numId w:val="19"/>
        </w:numPr>
      </w:pPr>
      <w:r>
        <w:t>…………………</w:t>
      </w:r>
    </w:p>
    <w:p w:rsidR="004D0CAC" w:rsidRDefault="004D0CAC">
      <w:pPr>
        <w:numPr>
          <w:ilvl w:val="0"/>
          <w:numId w:val="19"/>
        </w:numPr>
      </w:pPr>
      <w:r>
        <w:t>…………………</w:t>
      </w:r>
    </w:p>
    <w:p w:rsidR="004D0CAC" w:rsidRDefault="004D0CAC">
      <w:r>
        <w:t xml:space="preserve">Le predette incoerenze sono state tempestivamente comunicate all’Organo amministrativo, il quale, tuttavia, non ha ritenuto opportuno modificare la relazione sulla gestione; pur gravando su di esso la responsabilità della redazione della relazione sulla gestione in conformità a quanto previsto dalle norme di legge. È di nostra competenza l’espressione del giudizio sulla coerenza della relazione sulla gestione con il progetto di bilancio, come richiesto dall’art. 14, secondo comma, lettera e), del D. Lgs. 27 gennaio 2010, nr. 39. A tal fine, abbiamo svolto le procedure indicate dal principio di revisione nr. PR 001 emanato  dal Consiglio Nazionale dei Dottori Commercialisti e degli Esperti Contabili e raccomandato dalla Consob. A nostro giudizio la relazione sulla gestione non è coerente con il progetto di bilancio d’esercizio. </w:t>
      </w:r>
    </w:p>
    <w:p w:rsidR="004D0CAC" w:rsidRDefault="004D0CAC"/>
    <w:p w:rsidR="004D0CAC" w:rsidRDefault="004D0CAC">
      <w:pPr>
        <w:pStyle w:val="Titolo3"/>
      </w:pPr>
      <w:r>
        <w:t>Oppure</w:t>
      </w:r>
    </w:p>
    <w:p w:rsidR="004D0CAC" w:rsidRDefault="004D0CAC">
      <w:pPr>
        <w:rPr>
          <w:b/>
        </w:rPr>
      </w:pPr>
      <w:r>
        <w:rPr>
          <w:b/>
        </w:rPr>
        <w:t>Impossibilità ad esprimere un giudizio di coerenza</w:t>
      </w:r>
    </w:p>
    <w:p w:rsidR="004D0CAC" w:rsidRDefault="004D0CAC"/>
    <w:p w:rsidR="004D0CAC" w:rsidRDefault="004D0CAC">
      <w:r>
        <w:t>La responsabilità della redazione della relazione sulla gestione in conformità a quanto previsto dalle norme di legge compete all’Organo amministrativo.</w:t>
      </w:r>
      <w:r>
        <w:rPr>
          <w:color w:val="0000FF"/>
        </w:rPr>
        <w:t xml:space="preserve"> </w:t>
      </w:r>
      <w:r>
        <w:t>È di nostra competenza l’espressione del giudizio sulla coerenza della relazione sulla gestione con il progetto di bilancio, come richiesto dall’art. 14, secondo comma, lettera e), del D. Lgs. 27 gennaio 2010, nr. 39.</w:t>
      </w:r>
    </w:p>
    <w:p w:rsidR="004D0CAC" w:rsidRDefault="004D0CAC">
      <w:r>
        <w:t xml:space="preserve">A causa del ritardo nella messa a disposizione della relazione sulla gestione da parte dell’Organo amministrativo e della conseguente impossibilità di svolgere le procedure indicate dal principio di revisione nr. PR 001 emanato dal Consiglio Nazionale dei Dottori Commercialisti e degli Esperti Contabili e raccomandato dalla Consob, non siamo in grado di esprimere un giudizio sulla coerenza di quest’ultima con il progetto di bilancio d’esercizio. </w:t>
      </w:r>
    </w:p>
    <w:p w:rsidR="004D0CAC" w:rsidRDefault="004D0CAC"/>
    <w:p w:rsidR="004D0CAC" w:rsidRDefault="004D0CAC">
      <w:pPr>
        <w:rPr>
          <w:i/>
        </w:rPr>
      </w:pPr>
      <w:r>
        <w:rPr>
          <w:i/>
        </w:rPr>
        <w:t>(Compilazione a cura dell’utente…)</w:t>
      </w:r>
    </w:p>
    <w:p w:rsidR="004D0CAC" w:rsidRDefault="004D0CAC">
      <w:pPr>
        <w:rPr>
          <w:i/>
        </w:rPr>
      </w:pPr>
      <w:r>
        <w:rPr>
          <w:i/>
        </w:rPr>
        <w:t>Nel caso in cui venga espresso un giudizio sul bilancio con rilievi, un giudizio negativo o una dichiarazione di impossibilità di esprimere un giudizio, illustrare analiticamente i motivi della decisione.</w:t>
      </w:r>
    </w:p>
    <w:p w:rsidR="004D0CAC" w:rsidRDefault="004D0CAC">
      <w:pPr>
        <w:pStyle w:val="Pidipagina"/>
        <w:tabs>
          <w:tab w:val="clear" w:pos="4819"/>
          <w:tab w:val="clear" w:pos="9638"/>
        </w:tabs>
      </w:pPr>
    </w:p>
    <w:p w:rsidR="004D0CAC" w:rsidRDefault="004D0CAC">
      <w:pPr>
        <w:pStyle w:val="Aponota3"/>
      </w:pPr>
      <w:r>
        <w:t>Conclusioni</w:t>
      </w:r>
    </w:p>
    <w:p w:rsidR="004D0CAC" w:rsidRDefault="004D0CAC"/>
    <w:p w:rsidR="004D0CAC" w:rsidRDefault="004D0CAC">
      <w:pPr>
        <w:rPr>
          <w:i/>
        </w:rPr>
      </w:pPr>
      <w:r>
        <w:rPr>
          <w:i/>
        </w:rPr>
        <w:t>(Compilazione a cura dell’utente…)</w:t>
      </w:r>
    </w:p>
    <w:p w:rsidR="004D0CAC" w:rsidRDefault="004D0CAC">
      <w:pPr>
        <w:rPr>
          <w:i/>
        </w:rPr>
      </w:pPr>
      <w:r>
        <w:rPr>
          <w:i/>
        </w:rPr>
        <w:t>Evidenza dell’opinione di ciascun sindaco.</w:t>
      </w:r>
    </w:p>
    <w:p w:rsidR="004D0CAC" w:rsidRDefault="004D0CAC"/>
    <w:p w:rsidR="004D0CAC" w:rsidRDefault="004D0CAC">
      <w:r>
        <w:t xml:space="preserve">Sulla base di quanto rappresentatoVi, e alla luce dell’attività di vigilanza e di revisione legale dei conti, svolta durante le riunioni collegiali e sulla base dei documenti sottoposti dall’Organo amministrativo, riteniamo che il progetto di bilancio in esame, nel suo complesso, risulti redatto con chiarezza e rappresenti in modo veritiero e corretto la situazione economica, patrimoniale e finanziaria della società, in conformità alle norme che disciplinano il bilancio di esercizio. Riteniamo quindi il progetto di bilancio d’esercizio conforme alle norme che ne disciplinano i criteri di redazione. </w:t>
      </w:r>
    </w:p>
    <w:p w:rsidR="004D0CAC" w:rsidRDefault="004D0CAC">
      <w:pPr>
        <w:tabs>
          <w:tab w:val="left" w:pos="0"/>
        </w:tabs>
      </w:pPr>
      <w:r>
        <w:t>Nell’esprimere il nostro parere favorevole, Vi invitiamo ad approvare il bilancio di esercizio nelle sue componenti Stato Patrimoniale, Conto Economico, Nota Integrativa ed i suoi allegati, nonché la Relazione sulla Gestione, così come predisposti dall’Organo amministrativo,  associandosi a quest'ultimo per quanto riguarda la destinazione dell'utile di esercizio.</w:t>
      </w:r>
    </w:p>
    <w:p w:rsidR="004D0CAC" w:rsidRDefault="004D0CAC"/>
    <w:p w:rsidR="004D0CAC" w:rsidRDefault="004D0CAC">
      <w:pPr>
        <w:tabs>
          <w:tab w:val="left" w:pos="0"/>
        </w:tabs>
      </w:pPr>
      <w:r>
        <w:t xml:space="preserve">Ai sensi e per gli effetti dell'art. 47 del D.P.R. 445/2000, si dichiara che il </w:t>
      </w:r>
      <w:r>
        <w:rPr>
          <w:b/>
        </w:rPr>
        <w:t>documento è copia conforme all'originale</w:t>
      </w:r>
      <w:r>
        <w:t xml:space="preserve"> depositato presso la società </w:t>
      </w:r>
      <w:r>
        <w:rPr>
          <w:color w:val="FF0000"/>
        </w:rPr>
        <w:t>==ragsocsa==</w:t>
      </w:r>
      <w:r>
        <w:t>.</w:t>
      </w:r>
    </w:p>
    <w:p w:rsidR="004D0CAC" w:rsidRDefault="004D0CAC">
      <w:pPr>
        <w:tabs>
          <w:tab w:val="left" w:pos="0"/>
        </w:tabs>
      </w:pPr>
    </w:p>
    <w:p w:rsidR="004D0CAC" w:rsidRDefault="004D0CAC">
      <w:r>
        <w:rPr>
          <w:color w:val="FF0000"/>
        </w:rPr>
        <w:t>==comsoc==</w:t>
      </w:r>
      <w:r>
        <w:t xml:space="preserve">, in data………………….. </w:t>
      </w:r>
    </w:p>
    <w:p w:rsidR="004D0CAC" w:rsidRDefault="004D0CAC">
      <w:pPr>
        <w:tabs>
          <w:tab w:val="left" w:pos="0"/>
        </w:tabs>
      </w:pPr>
      <w:r>
        <w:t>Il Collegio Sindacale</w:t>
      </w:r>
    </w:p>
    <w:p w:rsidR="004D0CAC" w:rsidRDefault="004D0CAC">
      <w:pPr>
        <w:tabs>
          <w:tab w:val="left" w:pos="0"/>
        </w:tabs>
        <w:jc w:val="center"/>
        <w:rPr>
          <w:b/>
          <w:color w:val="FF0000"/>
        </w:rPr>
      </w:pPr>
      <w:r>
        <w:rPr>
          <w:b/>
          <w:color w:val="FF0000"/>
        </w:rPr>
        <w:t>===Organo di controllo===</w:t>
      </w:r>
    </w:p>
    <w:p w:rsidR="004D0CAC" w:rsidRDefault="004D0CAC"/>
    <w:sectPr w:rsidR="004D0CAC">
      <w:footerReference w:type="even" r:id="rId7"/>
      <w:footerReference w:type="default" r:id="rId8"/>
      <w:pgSz w:w="11906" w:h="16838"/>
      <w:pgMar w:top="2857" w:right="1429" w:bottom="1931" w:left="1429" w:header="714" w:footer="71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CAC" w:rsidRDefault="004D0CAC">
      <w:pPr>
        <w:spacing w:line="240" w:lineRule="auto"/>
      </w:pPr>
      <w:r>
        <w:separator/>
      </w:r>
    </w:p>
  </w:endnote>
  <w:endnote w:type="continuationSeparator" w:id="0">
    <w:p w:rsidR="004D0CAC" w:rsidRDefault="004D0CA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CAC" w:rsidRDefault="004D0CA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4D0CAC" w:rsidRDefault="004D0CAC">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CAC" w:rsidRDefault="004D0CA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E3AA4">
      <w:rPr>
        <w:rStyle w:val="Numeropagina"/>
        <w:noProof/>
      </w:rPr>
      <w:t>7</w:t>
    </w:r>
    <w:r>
      <w:rPr>
        <w:rStyle w:val="Numeropagina"/>
      </w:rPr>
      <w:fldChar w:fldCharType="end"/>
    </w:r>
  </w:p>
  <w:p w:rsidR="004D0CAC" w:rsidRDefault="004D0CAC">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CAC" w:rsidRDefault="004D0CAC">
      <w:pPr>
        <w:spacing w:line="240" w:lineRule="auto"/>
      </w:pPr>
      <w:r>
        <w:separator/>
      </w:r>
    </w:p>
  </w:footnote>
  <w:footnote w:type="continuationSeparator" w:id="0">
    <w:p w:rsidR="004D0CAC" w:rsidRDefault="004D0CA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5555"/>
    <w:multiLevelType w:val="multilevel"/>
    <w:tmpl w:val="A82069AC"/>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2157"/>
        </w:tabs>
        <w:ind w:left="2157" w:hanging="360"/>
      </w:pPr>
      <w:rPr>
        <w:rFonts w:ascii="Courier New" w:hAnsi="Courier New" w:hint="default"/>
      </w:rPr>
    </w:lvl>
    <w:lvl w:ilvl="2" w:tentative="1">
      <w:start w:val="1"/>
      <w:numFmt w:val="bullet"/>
      <w:lvlText w:val=""/>
      <w:lvlJc w:val="left"/>
      <w:pPr>
        <w:tabs>
          <w:tab w:val="num" w:pos="2877"/>
        </w:tabs>
        <w:ind w:left="2877" w:hanging="360"/>
      </w:pPr>
      <w:rPr>
        <w:rFonts w:ascii="Wingdings" w:hAnsi="Wingdings" w:hint="default"/>
      </w:rPr>
    </w:lvl>
    <w:lvl w:ilvl="3" w:tentative="1">
      <w:start w:val="1"/>
      <w:numFmt w:val="bullet"/>
      <w:lvlText w:val=""/>
      <w:lvlJc w:val="left"/>
      <w:pPr>
        <w:tabs>
          <w:tab w:val="num" w:pos="3597"/>
        </w:tabs>
        <w:ind w:left="3597" w:hanging="360"/>
      </w:pPr>
      <w:rPr>
        <w:rFonts w:ascii="Symbol" w:hAnsi="Symbol" w:hint="default"/>
      </w:rPr>
    </w:lvl>
    <w:lvl w:ilvl="4" w:tentative="1">
      <w:start w:val="1"/>
      <w:numFmt w:val="bullet"/>
      <w:lvlText w:val="o"/>
      <w:lvlJc w:val="left"/>
      <w:pPr>
        <w:tabs>
          <w:tab w:val="num" w:pos="4317"/>
        </w:tabs>
        <w:ind w:left="4317" w:hanging="360"/>
      </w:pPr>
      <w:rPr>
        <w:rFonts w:ascii="Courier New" w:hAnsi="Courier New" w:hint="default"/>
      </w:rPr>
    </w:lvl>
    <w:lvl w:ilvl="5" w:tentative="1">
      <w:start w:val="1"/>
      <w:numFmt w:val="bullet"/>
      <w:lvlText w:val=""/>
      <w:lvlJc w:val="left"/>
      <w:pPr>
        <w:tabs>
          <w:tab w:val="num" w:pos="5037"/>
        </w:tabs>
        <w:ind w:left="5037" w:hanging="360"/>
      </w:pPr>
      <w:rPr>
        <w:rFonts w:ascii="Wingdings" w:hAnsi="Wingdings" w:hint="default"/>
      </w:rPr>
    </w:lvl>
    <w:lvl w:ilvl="6" w:tentative="1">
      <w:start w:val="1"/>
      <w:numFmt w:val="bullet"/>
      <w:lvlText w:val=""/>
      <w:lvlJc w:val="left"/>
      <w:pPr>
        <w:tabs>
          <w:tab w:val="num" w:pos="5757"/>
        </w:tabs>
        <w:ind w:left="5757" w:hanging="360"/>
      </w:pPr>
      <w:rPr>
        <w:rFonts w:ascii="Symbol" w:hAnsi="Symbol" w:hint="default"/>
      </w:rPr>
    </w:lvl>
    <w:lvl w:ilvl="7" w:tentative="1">
      <w:start w:val="1"/>
      <w:numFmt w:val="bullet"/>
      <w:lvlText w:val="o"/>
      <w:lvlJc w:val="left"/>
      <w:pPr>
        <w:tabs>
          <w:tab w:val="num" w:pos="6477"/>
        </w:tabs>
        <w:ind w:left="6477" w:hanging="360"/>
      </w:pPr>
      <w:rPr>
        <w:rFonts w:ascii="Courier New" w:hAnsi="Courier New" w:hint="default"/>
      </w:rPr>
    </w:lvl>
    <w:lvl w:ilvl="8" w:tentative="1">
      <w:start w:val="1"/>
      <w:numFmt w:val="bullet"/>
      <w:lvlText w:val=""/>
      <w:lvlJc w:val="left"/>
      <w:pPr>
        <w:tabs>
          <w:tab w:val="num" w:pos="7197"/>
        </w:tabs>
        <w:ind w:left="7197" w:hanging="360"/>
      </w:pPr>
      <w:rPr>
        <w:rFonts w:ascii="Wingdings" w:hAnsi="Wingdings" w:hint="default"/>
      </w:rPr>
    </w:lvl>
  </w:abstractNum>
  <w:abstractNum w:abstractNumId="1">
    <w:nsid w:val="04DA5EC9"/>
    <w:multiLevelType w:val="singleLevel"/>
    <w:tmpl w:val="DCD20BA2"/>
    <w:lvl w:ilvl="0">
      <w:start w:val="1"/>
      <w:numFmt w:val="decimal"/>
      <w:lvlText w:val="%1)"/>
      <w:lvlJc w:val="left"/>
      <w:pPr>
        <w:tabs>
          <w:tab w:val="num" w:pos="360"/>
        </w:tabs>
        <w:ind w:left="360" w:hanging="360"/>
      </w:pPr>
    </w:lvl>
  </w:abstractNum>
  <w:abstractNum w:abstractNumId="2">
    <w:nsid w:val="0ECD722C"/>
    <w:multiLevelType w:val="multilevel"/>
    <w:tmpl w:val="BD1C62B2"/>
    <w:lvl w:ilvl="0">
      <w:start w:val="1"/>
      <w:numFmt w:val="bullet"/>
      <w:lvlText w:val="-"/>
      <w:lvlJc w:val="left"/>
      <w:pPr>
        <w:tabs>
          <w:tab w:val="num" w:pos="397"/>
        </w:tabs>
        <w:ind w:left="397"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12A3974"/>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4">
    <w:nsid w:val="16196FF5"/>
    <w:multiLevelType w:val="multilevel"/>
    <w:tmpl w:val="0CD47E7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nsid w:val="1EC36086"/>
    <w:multiLevelType w:val="multilevel"/>
    <w:tmpl w:val="59547F02"/>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67A6158"/>
    <w:multiLevelType w:val="multilevel"/>
    <w:tmpl w:val="6EA4F266"/>
    <w:lvl w:ilvl="0">
      <w:start w:val="1"/>
      <w:numFmt w:val="bullet"/>
      <w:lvlText w:val=""/>
      <w:lvlJc w:val="left"/>
      <w:pPr>
        <w:tabs>
          <w:tab w:val="num" w:pos="454"/>
        </w:tabs>
        <w:ind w:left="454" w:hanging="454"/>
      </w:pPr>
      <w:rPr>
        <w:rFonts w:ascii="Symbol" w:hAnsi="Symbol" w:hint="default"/>
      </w:rPr>
    </w:lvl>
    <w:lvl w:ilvl="1" w:tentative="1">
      <w:start w:val="1"/>
      <w:numFmt w:val="bullet"/>
      <w:lvlText w:val="o"/>
      <w:lvlJc w:val="left"/>
      <w:pPr>
        <w:tabs>
          <w:tab w:val="num" w:pos="1119"/>
        </w:tabs>
        <w:ind w:left="1119" w:hanging="360"/>
      </w:pPr>
      <w:rPr>
        <w:rFonts w:ascii="Courier New" w:hAnsi="Courier New" w:hint="default"/>
      </w:rPr>
    </w:lvl>
    <w:lvl w:ilvl="2" w:tentative="1">
      <w:start w:val="1"/>
      <w:numFmt w:val="bullet"/>
      <w:lvlText w:val=""/>
      <w:lvlJc w:val="left"/>
      <w:pPr>
        <w:tabs>
          <w:tab w:val="num" w:pos="1839"/>
        </w:tabs>
        <w:ind w:left="1839" w:hanging="360"/>
      </w:pPr>
      <w:rPr>
        <w:rFonts w:ascii="Wingdings" w:hAnsi="Wingdings" w:hint="default"/>
      </w:rPr>
    </w:lvl>
    <w:lvl w:ilvl="3" w:tentative="1">
      <w:start w:val="1"/>
      <w:numFmt w:val="bullet"/>
      <w:lvlText w:val=""/>
      <w:lvlJc w:val="left"/>
      <w:pPr>
        <w:tabs>
          <w:tab w:val="num" w:pos="2559"/>
        </w:tabs>
        <w:ind w:left="2559" w:hanging="360"/>
      </w:pPr>
      <w:rPr>
        <w:rFonts w:ascii="Symbol" w:hAnsi="Symbol" w:hint="default"/>
      </w:rPr>
    </w:lvl>
    <w:lvl w:ilvl="4" w:tentative="1">
      <w:start w:val="1"/>
      <w:numFmt w:val="bullet"/>
      <w:lvlText w:val="o"/>
      <w:lvlJc w:val="left"/>
      <w:pPr>
        <w:tabs>
          <w:tab w:val="num" w:pos="3279"/>
        </w:tabs>
        <w:ind w:left="3279" w:hanging="360"/>
      </w:pPr>
      <w:rPr>
        <w:rFonts w:ascii="Courier New" w:hAnsi="Courier New" w:hint="default"/>
      </w:rPr>
    </w:lvl>
    <w:lvl w:ilvl="5" w:tentative="1">
      <w:start w:val="1"/>
      <w:numFmt w:val="bullet"/>
      <w:lvlText w:val=""/>
      <w:lvlJc w:val="left"/>
      <w:pPr>
        <w:tabs>
          <w:tab w:val="num" w:pos="3999"/>
        </w:tabs>
        <w:ind w:left="3999" w:hanging="360"/>
      </w:pPr>
      <w:rPr>
        <w:rFonts w:ascii="Wingdings" w:hAnsi="Wingdings" w:hint="default"/>
      </w:rPr>
    </w:lvl>
    <w:lvl w:ilvl="6" w:tentative="1">
      <w:start w:val="1"/>
      <w:numFmt w:val="bullet"/>
      <w:lvlText w:val=""/>
      <w:lvlJc w:val="left"/>
      <w:pPr>
        <w:tabs>
          <w:tab w:val="num" w:pos="4719"/>
        </w:tabs>
        <w:ind w:left="4719" w:hanging="360"/>
      </w:pPr>
      <w:rPr>
        <w:rFonts w:ascii="Symbol" w:hAnsi="Symbol" w:hint="default"/>
      </w:rPr>
    </w:lvl>
    <w:lvl w:ilvl="7" w:tentative="1">
      <w:start w:val="1"/>
      <w:numFmt w:val="bullet"/>
      <w:lvlText w:val="o"/>
      <w:lvlJc w:val="left"/>
      <w:pPr>
        <w:tabs>
          <w:tab w:val="num" w:pos="5439"/>
        </w:tabs>
        <w:ind w:left="5439" w:hanging="360"/>
      </w:pPr>
      <w:rPr>
        <w:rFonts w:ascii="Courier New" w:hAnsi="Courier New" w:hint="default"/>
      </w:rPr>
    </w:lvl>
    <w:lvl w:ilvl="8" w:tentative="1">
      <w:start w:val="1"/>
      <w:numFmt w:val="bullet"/>
      <w:lvlText w:val=""/>
      <w:lvlJc w:val="left"/>
      <w:pPr>
        <w:tabs>
          <w:tab w:val="num" w:pos="6159"/>
        </w:tabs>
        <w:ind w:left="6159" w:hanging="360"/>
      </w:pPr>
      <w:rPr>
        <w:rFonts w:ascii="Wingdings" w:hAnsi="Wingdings" w:hint="default"/>
      </w:rPr>
    </w:lvl>
  </w:abstractNum>
  <w:abstractNum w:abstractNumId="7">
    <w:nsid w:val="273A165A"/>
    <w:multiLevelType w:val="multilevel"/>
    <w:tmpl w:val="5CDE1A1E"/>
    <w:lvl w:ilvl="0">
      <w:start w:val="1"/>
      <w:numFmt w:val="decimal"/>
      <w:lvlText w:val="%1)"/>
      <w:lvlJc w:val="left"/>
      <w:pPr>
        <w:tabs>
          <w:tab w:val="num" w:pos="360"/>
        </w:tabs>
        <w:ind w:left="360" w:hanging="360"/>
      </w:pPr>
    </w:lvl>
    <w:lvl w:ilvl="1" w:tentative="1">
      <w:start w:val="1"/>
      <w:numFmt w:val="lowerLetter"/>
      <w:lvlText w:val="%2."/>
      <w:lvlJc w:val="left"/>
      <w:pPr>
        <w:tabs>
          <w:tab w:val="num" w:pos="941"/>
        </w:tabs>
        <w:ind w:left="941" w:hanging="360"/>
      </w:pPr>
    </w:lvl>
    <w:lvl w:ilvl="2" w:tentative="1">
      <w:start w:val="1"/>
      <w:numFmt w:val="lowerRoman"/>
      <w:lvlText w:val="%3."/>
      <w:lvlJc w:val="right"/>
      <w:pPr>
        <w:tabs>
          <w:tab w:val="num" w:pos="1661"/>
        </w:tabs>
        <w:ind w:left="1661" w:hanging="180"/>
      </w:pPr>
    </w:lvl>
    <w:lvl w:ilvl="3" w:tentative="1">
      <w:start w:val="1"/>
      <w:numFmt w:val="decimal"/>
      <w:lvlText w:val="%4."/>
      <w:lvlJc w:val="left"/>
      <w:pPr>
        <w:tabs>
          <w:tab w:val="num" w:pos="2381"/>
        </w:tabs>
        <w:ind w:left="2381" w:hanging="360"/>
      </w:pPr>
    </w:lvl>
    <w:lvl w:ilvl="4" w:tentative="1">
      <w:start w:val="1"/>
      <w:numFmt w:val="lowerLetter"/>
      <w:lvlText w:val="%5."/>
      <w:lvlJc w:val="left"/>
      <w:pPr>
        <w:tabs>
          <w:tab w:val="num" w:pos="3101"/>
        </w:tabs>
        <w:ind w:left="3101" w:hanging="360"/>
      </w:pPr>
    </w:lvl>
    <w:lvl w:ilvl="5" w:tentative="1">
      <w:start w:val="1"/>
      <w:numFmt w:val="lowerRoman"/>
      <w:lvlText w:val="%6."/>
      <w:lvlJc w:val="right"/>
      <w:pPr>
        <w:tabs>
          <w:tab w:val="num" w:pos="3821"/>
        </w:tabs>
        <w:ind w:left="3821" w:hanging="180"/>
      </w:pPr>
    </w:lvl>
    <w:lvl w:ilvl="6" w:tentative="1">
      <w:start w:val="1"/>
      <w:numFmt w:val="decimal"/>
      <w:lvlText w:val="%7."/>
      <w:lvlJc w:val="left"/>
      <w:pPr>
        <w:tabs>
          <w:tab w:val="num" w:pos="4541"/>
        </w:tabs>
        <w:ind w:left="4541" w:hanging="360"/>
      </w:pPr>
    </w:lvl>
    <w:lvl w:ilvl="7" w:tentative="1">
      <w:start w:val="1"/>
      <w:numFmt w:val="lowerLetter"/>
      <w:lvlText w:val="%8."/>
      <w:lvlJc w:val="left"/>
      <w:pPr>
        <w:tabs>
          <w:tab w:val="num" w:pos="5261"/>
        </w:tabs>
        <w:ind w:left="5261" w:hanging="360"/>
      </w:pPr>
    </w:lvl>
    <w:lvl w:ilvl="8" w:tentative="1">
      <w:start w:val="1"/>
      <w:numFmt w:val="lowerRoman"/>
      <w:lvlText w:val="%9."/>
      <w:lvlJc w:val="right"/>
      <w:pPr>
        <w:tabs>
          <w:tab w:val="num" w:pos="5981"/>
        </w:tabs>
        <w:ind w:left="5981" w:hanging="180"/>
      </w:pPr>
    </w:lvl>
  </w:abstractNum>
  <w:abstractNum w:abstractNumId="8">
    <w:nsid w:val="2A5A0005"/>
    <w:multiLevelType w:val="multilevel"/>
    <w:tmpl w:val="ECEE281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D41204C"/>
    <w:multiLevelType w:val="multilevel"/>
    <w:tmpl w:val="91B8E5D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4F2C1FD5"/>
    <w:multiLevelType w:val="multilevel"/>
    <w:tmpl w:val="AA0C1BE0"/>
    <w:lvl w:ilvl="0">
      <w:start w:val="1"/>
      <w:numFmt w:val="bullet"/>
      <w:lvlText w:val="-"/>
      <w:lvlJc w:val="left"/>
      <w:pPr>
        <w:tabs>
          <w:tab w:val="num" w:pos="397"/>
        </w:tabs>
        <w:ind w:left="397" w:hanging="397"/>
      </w:pPr>
      <w:rPr>
        <w:rFonts w:ascii="Times New Roman" w:hAnsi="Times New Roman" w:cs="Times New Roman" w:hint="default"/>
      </w:rPr>
    </w:lvl>
    <w:lvl w:ilvl="1" w:tentative="1">
      <w:start w:val="1"/>
      <w:numFmt w:val="bullet"/>
      <w:lvlText w:val="o"/>
      <w:lvlJc w:val="left"/>
      <w:pPr>
        <w:tabs>
          <w:tab w:val="num" w:pos="1119"/>
        </w:tabs>
        <w:ind w:left="1119" w:hanging="360"/>
      </w:pPr>
      <w:rPr>
        <w:rFonts w:ascii="Courier New" w:hAnsi="Courier New" w:hint="default"/>
      </w:rPr>
    </w:lvl>
    <w:lvl w:ilvl="2" w:tentative="1">
      <w:start w:val="1"/>
      <w:numFmt w:val="bullet"/>
      <w:lvlText w:val=""/>
      <w:lvlJc w:val="left"/>
      <w:pPr>
        <w:tabs>
          <w:tab w:val="num" w:pos="1839"/>
        </w:tabs>
        <w:ind w:left="1839" w:hanging="360"/>
      </w:pPr>
      <w:rPr>
        <w:rFonts w:ascii="Wingdings" w:hAnsi="Wingdings" w:hint="default"/>
      </w:rPr>
    </w:lvl>
    <w:lvl w:ilvl="3" w:tentative="1">
      <w:start w:val="1"/>
      <w:numFmt w:val="bullet"/>
      <w:lvlText w:val=""/>
      <w:lvlJc w:val="left"/>
      <w:pPr>
        <w:tabs>
          <w:tab w:val="num" w:pos="2559"/>
        </w:tabs>
        <w:ind w:left="2559" w:hanging="360"/>
      </w:pPr>
      <w:rPr>
        <w:rFonts w:ascii="Symbol" w:hAnsi="Symbol" w:hint="default"/>
      </w:rPr>
    </w:lvl>
    <w:lvl w:ilvl="4" w:tentative="1">
      <w:start w:val="1"/>
      <w:numFmt w:val="bullet"/>
      <w:lvlText w:val="o"/>
      <w:lvlJc w:val="left"/>
      <w:pPr>
        <w:tabs>
          <w:tab w:val="num" w:pos="3279"/>
        </w:tabs>
        <w:ind w:left="3279" w:hanging="360"/>
      </w:pPr>
      <w:rPr>
        <w:rFonts w:ascii="Courier New" w:hAnsi="Courier New" w:hint="default"/>
      </w:rPr>
    </w:lvl>
    <w:lvl w:ilvl="5" w:tentative="1">
      <w:start w:val="1"/>
      <w:numFmt w:val="bullet"/>
      <w:lvlText w:val=""/>
      <w:lvlJc w:val="left"/>
      <w:pPr>
        <w:tabs>
          <w:tab w:val="num" w:pos="3999"/>
        </w:tabs>
        <w:ind w:left="3999" w:hanging="360"/>
      </w:pPr>
      <w:rPr>
        <w:rFonts w:ascii="Wingdings" w:hAnsi="Wingdings" w:hint="default"/>
      </w:rPr>
    </w:lvl>
    <w:lvl w:ilvl="6" w:tentative="1">
      <w:start w:val="1"/>
      <w:numFmt w:val="bullet"/>
      <w:lvlText w:val=""/>
      <w:lvlJc w:val="left"/>
      <w:pPr>
        <w:tabs>
          <w:tab w:val="num" w:pos="4719"/>
        </w:tabs>
        <w:ind w:left="4719" w:hanging="360"/>
      </w:pPr>
      <w:rPr>
        <w:rFonts w:ascii="Symbol" w:hAnsi="Symbol" w:hint="default"/>
      </w:rPr>
    </w:lvl>
    <w:lvl w:ilvl="7" w:tentative="1">
      <w:start w:val="1"/>
      <w:numFmt w:val="bullet"/>
      <w:lvlText w:val="o"/>
      <w:lvlJc w:val="left"/>
      <w:pPr>
        <w:tabs>
          <w:tab w:val="num" w:pos="5439"/>
        </w:tabs>
        <w:ind w:left="5439" w:hanging="360"/>
      </w:pPr>
      <w:rPr>
        <w:rFonts w:ascii="Courier New" w:hAnsi="Courier New" w:hint="default"/>
      </w:rPr>
    </w:lvl>
    <w:lvl w:ilvl="8" w:tentative="1">
      <w:start w:val="1"/>
      <w:numFmt w:val="bullet"/>
      <w:lvlText w:val=""/>
      <w:lvlJc w:val="left"/>
      <w:pPr>
        <w:tabs>
          <w:tab w:val="num" w:pos="6159"/>
        </w:tabs>
        <w:ind w:left="6159" w:hanging="360"/>
      </w:pPr>
      <w:rPr>
        <w:rFonts w:ascii="Wingdings" w:hAnsi="Wingdings" w:hint="default"/>
      </w:rPr>
    </w:lvl>
  </w:abstractNum>
  <w:abstractNum w:abstractNumId="11">
    <w:nsid w:val="50AF0DCC"/>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2">
    <w:nsid w:val="59711D84"/>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3">
    <w:nsid w:val="5F771B84"/>
    <w:multiLevelType w:val="multilevel"/>
    <w:tmpl w:val="131C83E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14">
    <w:nsid w:val="6D5D6228"/>
    <w:multiLevelType w:val="multilevel"/>
    <w:tmpl w:val="D7E865C0"/>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74BF0E5E"/>
    <w:multiLevelType w:val="multilevel"/>
    <w:tmpl w:val="C30AD6D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76A84B63"/>
    <w:multiLevelType w:val="multilevel"/>
    <w:tmpl w:val="B47EC55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nsid w:val="78AC3763"/>
    <w:multiLevelType w:val="singleLevel"/>
    <w:tmpl w:val="DCD20BA2"/>
    <w:lvl w:ilvl="0">
      <w:start w:val="1"/>
      <w:numFmt w:val="decimal"/>
      <w:lvlText w:val="%1)"/>
      <w:lvlJc w:val="left"/>
      <w:pPr>
        <w:tabs>
          <w:tab w:val="num" w:pos="360"/>
        </w:tabs>
        <w:ind w:left="360" w:hanging="360"/>
      </w:pPr>
    </w:lvl>
  </w:abstractNum>
  <w:abstractNum w:abstractNumId="18">
    <w:nsid w:val="792A055D"/>
    <w:multiLevelType w:val="multilevel"/>
    <w:tmpl w:val="C7022A14"/>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6"/>
  </w:num>
  <w:num w:numId="4">
    <w:abstractNumId w:val="4"/>
  </w:num>
  <w:num w:numId="5">
    <w:abstractNumId w:val="13"/>
  </w:num>
  <w:num w:numId="6">
    <w:abstractNumId w:val="0"/>
  </w:num>
  <w:num w:numId="7">
    <w:abstractNumId w:val="15"/>
  </w:num>
  <w:num w:numId="8">
    <w:abstractNumId w:val="5"/>
  </w:num>
  <w:num w:numId="9">
    <w:abstractNumId w:val="14"/>
  </w:num>
  <w:num w:numId="10">
    <w:abstractNumId w:val="8"/>
  </w:num>
  <w:num w:numId="11">
    <w:abstractNumId w:val="18"/>
  </w:num>
  <w:num w:numId="12">
    <w:abstractNumId w:val="9"/>
  </w:num>
  <w:num w:numId="13">
    <w:abstractNumId w:val="11"/>
  </w:num>
  <w:num w:numId="14">
    <w:abstractNumId w:val="17"/>
  </w:num>
  <w:num w:numId="15">
    <w:abstractNumId w:val="1"/>
  </w:num>
  <w:num w:numId="16">
    <w:abstractNumId w:val="6"/>
  </w:num>
  <w:num w:numId="17">
    <w:abstractNumId w:val="10"/>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B91A8C"/>
    <w:rsid w:val="003E3AA4"/>
    <w:rsid w:val="004D0CAC"/>
    <w:rsid w:val="00B91A8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pacing w:line="360" w:lineRule="auto"/>
      <w:jc w:val="both"/>
    </w:pPr>
    <w:rPr>
      <w:rFonts w:ascii="Arial" w:hAnsi="Arial"/>
    </w:rPr>
  </w:style>
  <w:style w:type="paragraph" w:styleId="Titolo1">
    <w:name w:val="heading 1"/>
    <w:basedOn w:val="Normale"/>
    <w:next w:val="Normale"/>
    <w:qFormat/>
    <w:pPr>
      <w:keepNext/>
      <w:shd w:val="clear" w:color="auto" w:fill="FFFFFF"/>
      <w:ind w:right="-530"/>
      <w:jc w:val="center"/>
      <w:outlineLvl w:val="0"/>
    </w:pPr>
    <w:rPr>
      <w:rFonts w:eastAsia="Arial Unicode MS"/>
      <w:emboss/>
      <w:sz w:val="32"/>
      <w:vertAlign w:val="subscript"/>
    </w:rPr>
  </w:style>
  <w:style w:type="paragraph" w:styleId="Titolo2">
    <w:name w:val="heading 2"/>
    <w:basedOn w:val="Normale"/>
    <w:next w:val="Normale"/>
    <w:qFormat/>
    <w:pPr>
      <w:keepNext/>
      <w:outlineLvl w:val="1"/>
    </w:pPr>
    <w:rPr>
      <w:b/>
    </w:rPr>
  </w:style>
  <w:style w:type="paragraph" w:styleId="Titolo3">
    <w:name w:val="heading 3"/>
    <w:basedOn w:val="Normale"/>
    <w:next w:val="Normale"/>
    <w:qFormat/>
    <w:pPr>
      <w:keepNext/>
      <w:outlineLvl w:val="2"/>
    </w:pPr>
    <w:rPr>
      <w:i/>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ponota1">
    <w:name w:val="Apo_nota1"/>
    <w:basedOn w:val="Normale"/>
    <w:next w:val="Normale"/>
    <w:pPr>
      <w:pBdr>
        <w:top w:val="single" w:sz="4" w:space="0" w:color="808080" w:shadow="1"/>
        <w:left w:val="single" w:sz="4" w:space="0" w:color="808080" w:shadow="1"/>
        <w:bottom w:val="single" w:sz="4" w:space="0" w:color="808080" w:shadow="1"/>
        <w:right w:val="single" w:sz="4" w:space="0" w:color="808080" w:shadow="1"/>
      </w:pBdr>
      <w:shd w:val="pct10" w:color="auto" w:fill="auto"/>
      <w:spacing w:after="240"/>
      <w:jc w:val="center"/>
    </w:pPr>
    <w:rPr>
      <w:b/>
    </w:rPr>
  </w:style>
  <w:style w:type="paragraph" w:customStyle="1" w:styleId="Aponota2">
    <w:name w:val="Apo_nota2"/>
    <w:basedOn w:val="Normale"/>
    <w:next w:val="Normale"/>
    <w:pPr>
      <w:pBdr>
        <w:top w:val="single" w:sz="2" w:space="0" w:color="808080"/>
        <w:left w:val="single" w:sz="2" w:space="0" w:color="808080"/>
        <w:bottom w:val="single" w:sz="2" w:space="0" w:color="808080"/>
        <w:right w:val="single" w:sz="2" w:space="0" w:color="808080"/>
      </w:pBdr>
      <w:shd w:val="pct5" w:color="auto" w:fill="auto"/>
      <w:spacing w:before="120" w:after="120"/>
      <w:jc w:val="center"/>
    </w:pPr>
    <w:rPr>
      <w:b/>
    </w:rPr>
  </w:style>
  <w:style w:type="paragraph" w:customStyle="1" w:styleId="Aponota3">
    <w:name w:val="Apo_nota3"/>
    <w:basedOn w:val="Normale"/>
    <w:next w:val="Normale"/>
    <w:pPr>
      <w:pBdr>
        <w:bottom w:val="single" w:sz="2" w:space="0" w:color="808080"/>
      </w:pBdr>
      <w:spacing w:before="120" w:after="120"/>
      <w:jc w:val="left"/>
    </w:pPr>
    <w:rPr>
      <w:b/>
    </w:rPr>
  </w:style>
  <w:style w:type="paragraph" w:styleId="Intestazione">
    <w:name w:val="header"/>
    <w:basedOn w:val="Normale"/>
    <w:semiHidden/>
    <w:pPr>
      <w:tabs>
        <w:tab w:val="center" w:pos="4819"/>
        <w:tab w:val="right" w:pos="9638"/>
      </w:tabs>
      <w:spacing w:line="240" w:lineRule="auto"/>
      <w:jc w:val="left"/>
    </w:pPr>
    <w:rPr>
      <w:sz w:val="18"/>
    </w:rPr>
  </w:style>
  <w:style w:type="paragraph" w:styleId="Pidipagina">
    <w:name w:val="footer"/>
    <w:basedOn w:val="Normale"/>
    <w:semiHidden/>
    <w:pPr>
      <w:tabs>
        <w:tab w:val="center" w:pos="4819"/>
        <w:tab w:val="right" w:pos="9638"/>
      </w:tabs>
    </w:pPr>
  </w:style>
  <w:style w:type="character" w:styleId="Numeropagina">
    <w:name w:val="page number"/>
    <w:basedOn w:val="Carpredefinitoparagrafo"/>
    <w:semiHidden/>
  </w:style>
  <w:style w:type="paragraph" w:customStyle="1" w:styleId="Apotestata2">
    <w:name w:val="Apo_testata2"/>
    <w:basedOn w:val="Normale"/>
    <w:pPr>
      <w:widowControl/>
      <w:jc w:val="center"/>
    </w:pPr>
    <w:rPr>
      <w:b/>
    </w:rPr>
  </w:style>
  <w:style w:type="paragraph" w:customStyle="1" w:styleId="Apotestata1">
    <w:name w:val="Apo_testata1"/>
    <w:basedOn w:val="Normale"/>
    <w:next w:val="Normale"/>
    <w:pPr>
      <w:jc w:val="center"/>
    </w:pPr>
  </w:style>
  <w:style w:type="paragraph" w:styleId="Corpodeltesto3">
    <w:name w:val="Body Text 3"/>
    <w:basedOn w:val="Normale"/>
    <w:semiHidden/>
    <w:rPr>
      <w:i/>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2201</Words>
  <Characters>12551</Characters>
  <Application>Microsoft Office Word</Application>
  <DocSecurity>0</DocSecurity>
  <Lines>104</Lines>
  <Paragraphs>29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==ragsocsa==</vt:lpstr>
      <vt:lpstr>==ragsocsa==</vt:lpstr>
    </vt:vector>
  </TitlesOfParts>
  <LinksUpToDate>false</LinksUpToDate>
  <CharactersWithSpaces>14723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==ragsocsa==</dc:title>
  <cp:revision>2</cp:revision>
  <dcterms:created xsi:type="dcterms:W3CDTF">2017-09-25T09:39:00Z</dcterms:created>
  <dcterms:modified xsi:type="dcterms:W3CDTF">2017-09-25T09:39:00Z</dcterms:modified>
</cp:coreProperties>
</file>